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79cb6ee3b1ff514e68c94e5bc0380386ce69d8"/>
    <w:p>
      <w:pPr>
        <w:pStyle w:val="Heading1"/>
      </w:pPr>
      <w:r>
        <w:t xml:space="preserve">JTAG Enumeration for Security Research on the Zynq UltraScale+ MPSoC</w:t>
      </w:r>
    </w:p>
    <w:bookmarkStart w:id="9" w:name="volume-2-methodology-and-workflow"/>
    <w:p>
      <w:pPr>
        <w:pStyle w:val="Heading2"/>
      </w:pPr>
      <w:r>
        <w:t xml:space="preserve">Volume 2 — Methodology and Workflow</w:t>
      </w:r>
    </w:p>
    <w:p>
      <w:pPr>
        <w:pStyle w:val="FirstParagraph"/>
      </w:pPr>
      <w:r>
        <w:t xml:space="preserve">This volume describes how the enumeration toolset is structured (the</w:t>
      </w:r>
      <w:r>
        <w:t xml:space="preserve"> </w:t>
      </w:r>
      <w:r>
        <w:t xml:space="preserve">short methodology preface) and what running it actually looks like in</w:t>
      </w:r>
      <w:r>
        <w:t xml:space="preserve"> </w:t>
      </w:r>
      <w:r>
        <w:t xml:space="preserve">practice (the longer workflow section). A reader who only wants to know</w:t>
      </w:r>
      <w:r>
        <w:t xml:space="preserve"> </w:t>
      </w:r>
      <w:r>
        <w:t xml:space="preserve">“what do I do with this thing”</w:t>
      </w:r>
      <w:r>
        <w:t xml:space="preserve"> </w:t>
      </w:r>
      <w:r>
        <w:t xml:space="preserve">can skim §1 and dive into §2.</w:t>
      </w:r>
    </w:p>
    <w:p>
      <w:pPr>
        <w:pStyle w:val="BodyText"/>
      </w:pPr>
      <w:r>
        <w:t xml:space="preserve">A ZCU102 case study with real report excerpts is in §3.</w:t>
      </w:r>
    </w:p>
    <w:p>
      <w:r>
        <w:pict>
          <v:rect style="width:0;height:1.5pt" o:hralign="center" o:hrstd="t" o:hr="t"/>
        </w:pict>
      </w:r>
    </w:p>
    <w:bookmarkEnd w:id="9"/>
    <w:bookmarkStart w:id="19" w:name="methodology-preface"/>
    <w:p>
      <w:pPr>
        <w:pStyle w:val="Heading2"/>
      </w:pPr>
      <w:r>
        <w:t xml:space="preserve">1. Methodology Preface</w:t>
      </w:r>
    </w:p>
    <w:p>
      <w:pPr>
        <w:pStyle w:val="FirstParagraph"/>
      </w:pPr>
      <w:r>
        <w:t xml:space="preserve">The workflow is shaped by three design decisions. Understanding them</w:t>
      </w:r>
      <w:r>
        <w:t xml:space="preserve"> </w:t>
      </w:r>
      <w:r>
        <w:t xml:space="preserve">makes the rest of the document make sense and points at where future</w:t>
      </w:r>
      <w:r>
        <w:t xml:space="preserve"> </w:t>
      </w:r>
      <w:r>
        <w:t xml:space="preserve">extensions slot in.</w:t>
      </w:r>
    </w:p>
    <w:bookmarkStart w:id="13" w:name="X5b29d83a764fc751d61f9972ccb5a57e4b23023"/>
    <w:p>
      <w:pPr>
        <w:pStyle w:val="Heading3"/>
      </w:pPr>
      <w:r>
        <w:t xml:space="preserve">1.1 Three-layer pipeline: discover → enumerate → deep-probe</w:t>
      </w:r>
    </w:p>
    <w:p>
      <w:pPr>
        <w:pStyle w:val="CaptionedFigure"/>
      </w:pPr>
      <w:r>
        <w:drawing>
          <wp:inline>
            <wp:extent cx="5334000" cy="6198429"/>
            <wp:effectExtent b="0" l="0" r="0" t="0"/>
            <wp:docPr descr="The three-layer enumeration pipeline" title="" id="11" name="Picture"/>
            <a:graphic>
              <a:graphicData uri="http://schemas.openxmlformats.org/drawingml/2006/picture">
                <pic:pic>
                  <pic:nvPicPr>
                    <pic:cNvPr descr="figures/05-pipelin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8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three-layer enumeration pipeline</w:t>
      </w:r>
    </w:p>
    <w:p>
      <w:pPr>
        <w:pStyle w:val="BodyText"/>
      </w:pPr>
      <w:r>
        <w:t xml:space="preserve">Each layer is more invasive than the previous. Discovery is pure</w:t>
      </w:r>
      <w:r>
        <w:t xml:space="preserve"> </w:t>
      </w:r>
      <w:r>
        <w:t xml:space="preserve">metadata reads; enumeration reads ~80 SoC registers passively;</w:t>
      </w:r>
      <w:r>
        <w:t xml:space="preserve"> </w:t>
      </w:r>
      <w:r>
        <w:t xml:space="preserve">deep-probe touches large memory regions and may risk DAP wedges.</w:t>
      </w:r>
      <w:r>
        <w:t xml:space="preserve"> </w:t>
      </w:r>
      <w:r>
        <w:t xml:space="preserve">The layering keeps fast safe operations from being held hostage by</w:t>
      </w:r>
      <w:r>
        <w:t xml:space="preserve"> </w:t>
      </w:r>
      <w:r>
        <w:t xml:space="preserve">slow risky ones.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enumerate</w:t>
      </w:r>
      <w:r>
        <w:t xml:space="preserve"> </w:t>
      </w:r>
      <w:r>
        <w:t xml:space="preserve">layer itself is split into two stages: a Tcl</w:t>
      </w:r>
      <w:r>
        <w:t xml:space="preserve"> </w:t>
      </w:r>
      <w:r>
        <w:t xml:space="preserve">capture stage (</w:t>
      </w:r>
      <w:r>
        <w:rPr>
          <w:rStyle w:val="VerbatimChar"/>
        </w:rPr>
        <w:t xml:space="preserve">openocd/enumerate.tcl</w:t>
      </w:r>
      <w:r>
        <w:t xml:space="preserve">, the only code that talks to</w:t>
      </w:r>
      <w:r>
        <w:t xml:space="preserve"> </w:t>
      </w:r>
      <w:r>
        <w:t xml:space="preserve">silicon) and a Python interpret stage (</w:t>
      </w:r>
      <w:r>
        <w:rPr>
          <w:rStyle w:val="VerbatimChar"/>
        </w:rPr>
        <w:t xml:space="preserve">tools/interpret.py</w:t>
      </w:r>
      <w:r>
        <w:t xml:space="preserve">, which</w:t>
      </w:r>
      <w:r>
        <w:t xml:space="preserve"> </w:t>
      </w:r>
      <w:r>
        <w:t xml:space="preserve">applies curated annotations + cross-register rules to the captured</w:t>
      </w:r>
      <w:r>
        <w:t xml:space="preserve"> </w:t>
      </w:r>
      <w:r>
        <w:t xml:space="preserve">JSON). The two stages are described in §2.3 (Capture) and §2.4</w:t>
      </w:r>
      <w:r>
        <w:t xml:space="preserve"> </w:t>
      </w:r>
      <w:r>
        <w:t xml:space="preserve">(Interpret).</w:t>
      </w:r>
    </w:p>
    <w:bookmarkEnd w:id="13"/>
    <w:bookmarkStart w:id="17" w:name="X6f012e0332aa028afd80f4e92ebc8aa3e575837"/>
    <w:p>
      <w:pPr>
        <w:pStyle w:val="Heading3"/>
      </w:pPr>
      <w:r>
        <w:t xml:space="preserve">1.2 QEMU as the authoritative source of register layouts</w:t>
      </w:r>
    </w:p>
    <w:p>
      <w:pPr>
        <w:pStyle w:val="FirstParagraph"/>
      </w:pPr>
      <w:r>
        <w:t xml:space="preserve">Bit-field decodings in the enumeration script come from Xilinx’s QEMU</w:t>
      </w:r>
      <w:r>
        <w:t xml:space="preserve"> </w:t>
      </w:r>
      <w:r>
        <w:t xml:space="preserve">register models, not from hand-typed datasheet transcriptions.</w:t>
      </w:r>
    </w:p>
    <w:p>
      <w:pPr>
        <w:pStyle w:val="CaptionedFigure"/>
      </w:pPr>
      <w:r>
        <w:drawing>
          <wp:inline>
            <wp:extent cx="5334000" cy="6928068"/>
            <wp:effectExtent b="0" l="0" r="0" t="0"/>
            <wp:docPr descr="QEMU sources → generator → Tcl dict → enumerate.tcl lookup" title="" id="15" name="Picture"/>
            <a:graphic>
              <a:graphicData uri="http://schemas.openxmlformats.org/drawingml/2006/picture">
                <pic:pic>
                  <pic:nvPicPr>
                    <pic:cNvPr descr="figures/06-qemu-so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8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QEMU sources → generator → Tcl dict → enumerate.tcl lookup</w:t>
      </w:r>
    </w:p>
    <w:p>
      <w:pPr>
        <w:pStyle w:val="BodyText"/>
      </w:pPr>
      <w:r>
        <w:t xml:space="preserve">The C-language REG32/FIELD macros in QEMU’s source are</w:t>
      </w:r>
      <w:r>
        <w:t xml:space="preserve"> </w:t>
      </w:r>
      <w:r>
        <w:t xml:space="preserve">“as-implemented”</w:t>
      </w:r>
      <w:r>
        <w:t xml:space="preserve"> </w:t>
      </w:r>
      <w:r>
        <w:t xml:space="preserve">— they describe how the silicon actually responds,</w:t>
      </w:r>
      <w:r>
        <w:t xml:space="preserve"> </w:t>
      </w:r>
      <w:r>
        <w:t xml:space="preserve">not how a datasheet text describes it. By making them the canonical</w:t>
      </w:r>
      <w:r>
        <w:t xml:space="preserve"> </w:t>
      </w:r>
      <w:r>
        <w:t xml:space="preserve">source, the script cannot drift from real-silicon behavior through</w:t>
      </w:r>
      <w:r>
        <w:t xml:space="preserve"> </w:t>
      </w:r>
      <w:r>
        <w:t xml:space="preserve">human transcription error.</w:t>
      </w:r>
    </w:p>
    <w:p>
      <w:pPr>
        <w:pStyle w:val="BodyText"/>
      </w:pPr>
      <w:r>
        <w:t xml:space="preserve">Originally a standalone audit tool (</w:t>
      </w:r>
      <w:r>
        <w:rPr>
          <w:rStyle w:val="VerbatimChar"/>
        </w:rPr>
        <w:t xml:space="preserve">tools/audit-bit-layouts.py</w:t>
      </w:r>
      <w:r>
        <w:t xml:space="preserve">)</w:t>
      </w:r>
      <w:r>
        <w:t xml:space="preserve"> </w:t>
      </w:r>
      <w:r>
        <w:t xml:space="preserve">cross-checked every hand-typed</w:t>
      </w:r>
      <w:r>
        <w:t xml:space="preserve"> </w:t>
      </w:r>
      <w:r>
        <w:rPr>
          <w:rStyle w:val="VerbatimChar"/>
        </w:rPr>
        <w:t xml:space="preserve">dump_reg</w:t>
      </w:r>
      <w:r>
        <w:t xml:space="preserve"> </w:t>
      </w:r>
      <w:r>
        <w:t xml:space="preserve">call against the QEMU model.</w:t>
      </w:r>
      <w:r>
        <w:t xml:space="preserve"> </w:t>
      </w:r>
      <w:r>
        <w:t xml:space="preserve">After all sites migrated to</w:t>
      </w:r>
      <w:r>
        <w:t xml:space="preserve"> </w:t>
      </w:r>
      <w:r>
        <w:rPr>
          <w:rStyle w:val="VerbatimChar"/>
        </w:rPr>
        <w:t xml:space="preserve">dump_reg_qemu</w:t>
      </w:r>
      <w:r>
        <w:t xml:space="preserve"> </w:t>
      </w:r>
      <w:r>
        <w:t xml:space="preserve">(which pulls fields</w:t>
      </w:r>
      <w:r>
        <w:t xml:space="preserve"> </w:t>
      </w:r>
      <w:r>
        <w:t xml:space="preserve">directly from the QEMU dict at call time), the audit had nothing to</w:t>
      </w:r>
      <w:r>
        <w:t xml:space="preserve"> </w:t>
      </w:r>
      <w:r>
        <w:t xml:space="preserve">audit and was retired in May 2026 — drift is now structurally</w:t>
      </w:r>
      <w:r>
        <w:t xml:space="preserve"> </w:t>
      </w:r>
      <w:r>
        <w:t xml:space="preserve">impossible.</w:t>
      </w:r>
    </w:p>
    <w:bookmarkEnd w:id="17"/>
    <w:bookmarkStart w:id="18" w:name="X0a13a330f6b70c08b67fa6fc39a8f58bb898350"/>
    <w:p>
      <w:pPr>
        <w:pStyle w:val="Heading3"/>
      </w:pPr>
      <w:r>
        <w:t xml:space="preserve">1.3 Variant lookup for within-family differences</w:t>
      </w:r>
    </w:p>
    <w:p>
      <w:pPr>
        <w:pStyle w:val="FirstParagraph"/>
      </w:pPr>
      <w:r>
        <w:t xml:space="preserve">The ZynqMP family includes dies with 2 or 4 A53 cores, some with VCU,</w:t>
      </w:r>
      <w:r>
        <w:t xml:space="preserve"> </w:t>
      </w:r>
      <w:r>
        <w:t xml:space="preserve">some with RF tiles, some with reduced GEM counts. The enumeration</w:t>
      </w:r>
      <w:r>
        <w:t xml:space="preserve"> </w:t>
      </w:r>
      <w:r>
        <w:t xml:space="preserve">script reads the IDCODE PART_ID and consults</w:t>
      </w:r>
      <w:r>
        <w:t xml:space="preserve"> </w:t>
      </w:r>
      <w:r>
        <w:rPr>
          <w:rStyle w:val="VerbatimChar"/>
        </w:rPr>
        <w:t xml:space="preserve">openocd/lib/zynqmp-variants.tcl</w:t>
      </w:r>
      <w:r>
        <w:t xml:space="preserve"> </w:t>
      </w:r>
      <w:r>
        <w:t xml:space="preserve">(25 entries) to obtain a capability</w:t>
      </w:r>
      <w:r>
        <w:t xml:space="preserve"> </w:t>
      </w:r>
      <w:r>
        <w:t xml:space="preserve">profile for the specific die. Variant-conditional probes use this</w:t>
      </w:r>
      <w:r>
        <w:t xml:space="preserve"> </w:t>
      </w:r>
      <w:r>
        <w:t xml:space="preserve">profile to avoid reading addresses that aren’t present on the</w:t>
      </w:r>
      <w:r>
        <w:t xml:space="preserve"> </w:t>
      </w:r>
      <w:r>
        <w:t xml:space="preserve">detected die.</w:t>
      </w:r>
    </w:p>
    <w:p>
      <w:pPr>
        <w:pStyle w:val="BodyText"/>
      </w:pPr>
      <w:r>
        <w:t xml:space="preserve">This pattern is preferable to per-variant scripts (which would</w:t>
      </w:r>
      <w:r>
        <w:t xml:space="preserve"> </w:t>
      </w:r>
      <w:r>
        <w:t xml:space="preserve">duplicate the same ~1100 lines of code N times) and to per-board</w:t>
      </w:r>
      <w:r>
        <w:t xml:space="preserve"> </w:t>
      </w:r>
      <w:r>
        <w:t xml:space="preserve">scripts (which would conflate</w:t>
      </w:r>
      <w:r>
        <w:t xml:space="preserve"> </w:t>
      </w:r>
      <w:r>
        <w:t xml:space="preserve">“this die has VCU silicon”</w:t>
      </w:r>
      <w:r>
        <w:t xml:space="preserve"> </w:t>
      </w:r>
      <w:r>
        <w:t xml:space="preserve">with</w:t>
      </w:r>
      <w:r>
        <w:t xml:space="preserve"> </w:t>
      </w:r>
      <w:r>
        <w:t xml:space="preserve">“this</w:t>
      </w:r>
      <w:r>
        <w:t xml:space="preserve"> </w:t>
      </w:r>
      <w:r>
        <w:t xml:space="preserve">PCB exposes a VCU connector”</w:t>
      </w:r>
      <w:r>
        <w:t xml:space="preserve">). One script, one register library, one</w:t>
      </w:r>
      <w:r>
        <w:t xml:space="preserve"> </w:t>
      </w:r>
      <w:r>
        <w:t xml:space="preserve">variant table.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0" w:name="workflow"/>
    <w:p>
      <w:pPr>
        <w:pStyle w:val="Heading2"/>
      </w:pPr>
      <w:r>
        <w:t xml:space="preserve">2. Workflow</w:t>
      </w:r>
    </w:p>
    <w:p>
      <w:pPr>
        <w:pStyle w:val="FirstParagraph"/>
      </w:pPr>
      <w:r>
        <w:t xml:space="preserve">This is the hands-on section. The workflow has five stages for a</w:t>
      </w:r>
      <w:r>
        <w:t xml:space="preserve"> </w:t>
      </w:r>
      <w:r>
        <w:t xml:space="preserve">first-contact unknown-board scenario; on a known board it collapses</w:t>
      </w:r>
      <w:r>
        <w:t xml:space="preserve"> </w:t>
      </w:r>
      <w:r>
        <w:t xml:space="preserve">to three steps (the auto-detect stage is skipped).</w:t>
      </w:r>
    </w:p>
    <w:p>
      <w:pPr>
        <w:pStyle w:val="CaptionedFigure"/>
      </w:pPr>
      <w:r>
        <w:drawing>
          <wp:inline>
            <wp:extent cx="4635500" cy="6057900"/>
            <wp:effectExtent b="0" l="0" r="0" t="0"/>
            <wp:docPr descr="Five-stage workflow: Connect → Auto-detect → Capture → Interpret → Read report" title="" id="21" name="Picture"/>
            <a:graphic>
              <a:graphicData uri="http://schemas.openxmlformats.org/drawingml/2006/picture">
                <pic:pic>
                  <pic:nvPicPr>
                    <pic:cNvPr descr="figures/07-workflow-stag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605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Five-stage workflow: Connect → Auto-detect → Capture → Interpret → Read report</w:t>
      </w:r>
    </w:p>
    <w:bookmarkStart w:id="23" w:name="stage-1-connect"/>
    <w:p>
      <w:pPr>
        <w:pStyle w:val="Heading3"/>
      </w:pPr>
      <w:r>
        <w:t xml:space="preserve">2.1 Stage 1 — Connect</w:t>
      </w:r>
    </w:p>
    <w:p>
      <w:pPr>
        <w:pStyle w:val="FirstParagraph"/>
      </w:pPr>
      <w:r>
        <w:t xml:space="preserve">Concrete steps for a ZCU102: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 boot mode switches SW6 to all-ON (JTAG idle) — for the cleanest baseline</w:t>
            </w:r>
          </w:p>
        </w:tc>
        <w:tc>
          <w:tcPr/>
          <w:p>
            <w:pPr>
              <w:pStyle w:val="Compact"/>
            </w:pPr>
            <w:r>
              <w:t xml:space="preserve">Visual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Connect 12V power supply to the board</w:t>
            </w:r>
          </w:p>
        </w:tc>
        <w:tc>
          <w:tcPr/>
          <w:p>
            <w:pPr>
              <w:pStyle w:val="Compact"/>
            </w:pPr>
            <w:r>
              <w:t xml:space="preserve">Green PWR LED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Connect the on-board Digilent SMT2 JTAG over a USB Micro-B cable to the host</w:t>
            </w:r>
          </w:p>
        </w:tc>
        <w:tc>
          <w:tcPr/>
          <w:p>
            <w:pPr>
              <w:pStyle w:val="Compact"/>
            </w:pPr>
            <w:r>
              <w:t xml:space="preserve">Host sees new USB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running in a VM, pass the JTAG USB device through to the guest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lsusb</w:t>
            </w:r>
            <w:r>
              <w:t xml:space="preserve"> </w:t>
            </w:r>
            <w:r>
              <w:t xml:space="preserve">in guest shows</w:t>
            </w:r>
            <w:r>
              <w:t xml:space="preserve"> </w:t>
            </w:r>
            <w:r>
              <w:rPr>
                <w:rStyle w:val="VerbatimChar"/>
              </w:rPr>
              <w:t xml:space="preserve">0403:6014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Press the POWER ON button (SW1)</w:t>
            </w:r>
          </w:p>
        </w:tc>
        <w:tc>
          <w:tcPr/>
          <w:p>
            <w:pPr>
              <w:pStyle w:val="Compact"/>
            </w:pPr>
            <w:r>
              <w:t xml:space="preserve">Status LEDs come up</w:t>
            </w:r>
          </w:p>
        </w:tc>
      </w:tr>
    </w:tbl>
    <w:p>
      <w:pPr>
        <w:pStyle w:val="BodyText"/>
      </w:pPr>
      <w:r>
        <w:t xml:space="preserve">For other boards the principle is the same: bring up power, connect</w:t>
      </w:r>
      <w:r>
        <w:t xml:space="preserve"> </w:t>
      </w:r>
      <w:r>
        <w:t xml:space="preserve">JTAG, pass USB through.</w:t>
      </w:r>
    </w:p>
    <w:bookmarkEnd w:id="23"/>
    <w:bookmarkStart w:id="24" w:name="stage-2-confirm-the-chain"/>
    <w:p>
      <w:pPr>
        <w:pStyle w:val="Heading3"/>
      </w:pPr>
      <w:r>
        <w:t xml:space="preserve">2.2 Stage 2 — Confirm the chain</w:t>
      </w:r>
    </w:p>
    <w:p>
      <w:pPr>
        <w:pStyle w:val="FirstParagraph"/>
      </w:pPr>
      <w:r>
        <w:t xml:space="preserve">Work targets a known board, so the OpenOCD config is 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openocd/zcu102.cfg</w:t>
      </w:r>
      <w:r>
        <w:t xml:space="preserve"> </w:t>
      </w:r>
      <w:r>
        <w:t xml:space="preserve">— the Digilent SMT2 interface plus the ZynqMP</w:t>
      </w:r>
      <w:r>
        <w:t xml:space="preserve"> </w:t>
      </w:r>
      <w:r>
        <w:t xml:space="preserve">target). Before trusting an enumeration, optionally run</w:t>
      </w:r>
      <w:r>
        <w:t xml:space="preserve"> </w:t>
      </w:r>
      <w:r>
        <w:rPr>
          <w:rStyle w:val="VerbatimChar"/>
        </w:rPr>
        <w:t xml:space="preserve">discover.tcl</w:t>
      </w:r>
      <w:r>
        <w:t xml:space="preserve"> </w:t>
      </w:r>
      <w:r>
        <w:t xml:space="preserve">to confirm the JTAG chain and AP topology match what you expect for the</w:t>
      </w:r>
      <w:r>
        <w:t xml:space="preserve"> </w:t>
      </w:r>
      <w:r>
        <w:t xml:space="preserve">part in front of you:</w:t>
      </w:r>
    </w:p>
    <w:p>
      <w:pPr>
        <w:pStyle w:val="SourceCode"/>
      </w:pPr>
      <w:r>
        <w:rPr>
          <w:rStyle w:val="VerbatimChar"/>
        </w:rPr>
        <w:t xml:space="preserve">openocd -f openocd/zcu102.cfg -c "init; source openocd/discover.tcl; shutdown"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 JTAG CHAIN DISCOVERY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TAPs defined: 2</w:t>
      </w:r>
      <w:r>
        <w:br/>
      </w:r>
      <w:r>
        <w:rPr>
          <w:rStyle w:val="VerbatimChar"/>
        </w:rPr>
        <w:t xml:space="preserve">  - uscale.tap</w:t>
      </w:r>
      <w:r>
        <w:br/>
      </w:r>
      <w:r>
        <w:rPr>
          <w:rStyle w:val="VerbatimChar"/>
        </w:rPr>
        <w:t xml:space="preserve">  - uscale.ps</w:t>
      </w:r>
      <w:r>
        <w:br/>
      </w:r>
      <w:r>
        <w:rPr>
          <w:rStyle w:val="VerbatimChar"/>
        </w:rPr>
        <w:t xml:space="preserve">Access Ports visible on uscale.dap:</w:t>
      </w:r>
      <w:r>
        <w:br/>
      </w:r>
      <w:r>
        <w:rPr>
          <w:rStyle w:val="VerbatimChar"/>
        </w:rPr>
        <w:t xml:space="preserve">  AP 0: IDR = 0x44770002  MEM-AP  APB2/APB3 (debug-register access)</w:t>
      </w:r>
      <w:r>
        <w:br/>
      </w:r>
      <w:r>
        <w:rPr>
          <w:rStyle w:val="VerbatimChar"/>
        </w:rPr>
        <w:t xml:space="preserve">  AP 1: IDR = 0x44770002  MEM-AP  APB2/APB3 (debug-register access)</w:t>
      </w:r>
      <w:r>
        <w:br/>
      </w:r>
      <w:r>
        <w:rPr>
          <w:rStyle w:val="VerbatimChar"/>
        </w:rPr>
        <w:t xml:space="preserve">  AP 2: IDR = 0x24770004  MEM-AP  AXI3/AXI4 (memory access)</w:t>
      </w:r>
      <w:r>
        <w:br/>
      </w:r>
      <w:r>
        <w:rPr>
          <w:rStyle w:val="VerbatimChar"/>
        </w:rPr>
        <w:t xml:space="preserve">----------------------------------------------------------------</w:t>
      </w:r>
    </w:p>
    <w:p>
      <w:pPr>
        <w:pStyle w:val="FirstParagraph"/>
      </w:pPr>
      <w:r>
        <w:t xml:space="preserve">The TAP list and IDCODEs confirm the part; the AP list shows which</w:t>
      </w:r>
      <w:r>
        <w:t xml:space="preserve"> </w:t>
      </w:r>
      <w:r>
        <w:t xml:space="preserve">debug/memory access ports respond. On a different target board a</w:t>
      </w:r>
      <w:r>
        <w:t xml:space="preserve"> </w:t>
      </w:r>
      <w:r>
        <w:t xml:space="preserve">mismatch here is the first signal that the config (or the part) isn’t</w:t>
      </w:r>
      <w:r>
        <w:t xml:space="preserve"> </w:t>
      </w:r>
      <w:r>
        <w:t xml:space="preserve">what you assumed — which AP responds is itself a posture datum.</w:t>
      </w:r>
    </w:p>
    <w:bookmarkEnd w:id="24"/>
    <w:bookmarkStart w:id="25" w:name="stage-3-capture-run-enumerate.tcl"/>
    <w:p>
      <w:pPr>
        <w:pStyle w:val="Heading3"/>
      </w:pPr>
      <w:r>
        <w:t xml:space="preserve">2.3 Stage 3 — Capture (run enumerate.tcl)</w:t>
      </w:r>
    </w:p>
    <w:p>
      <w:pPr>
        <w:pStyle w:val="FirstParagraph"/>
      </w:pPr>
      <w:r>
        <w:t xml:space="preserve">The capture is one command:</w:t>
      </w:r>
    </w:p>
    <w:p>
      <w:pPr>
        <w:pStyle w:val="SourceCode"/>
      </w:pPr>
      <w:r>
        <w:rPr>
          <w:rStyle w:val="VerbatimChar"/>
        </w:rPr>
        <w:t xml:space="preserve">openocd -f openocd/zcu102.cfg -c "init; source openocd/enumerate.tcl; shutdown"</w:t>
      </w:r>
    </w:p>
    <w:p>
      <w:pPr>
        <w:pStyle w:val="FirstParagraph"/>
      </w:pPr>
      <w:r>
        <w:t xml:space="preserve">In about ten seconds it produces three outputs: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reports/enumerate-&lt;YYYY-MM-DD-HHMMSS&gt;.md</w:t>
            </w:r>
          </w:p>
        </w:tc>
        <w:tc>
          <w:tcPr/>
          <w:p>
            <w:pPr>
              <w:pStyle w:val="Compact"/>
            </w:pPr>
            <w:r>
              <w:t xml:space="preserve">Human-readable transcript — addresses + per-bit decode for every register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reports/raw-&lt;YYYY-MM-DD-HHMMSS&gt;.json</w:t>
            </w:r>
          </w:p>
        </w:tc>
        <w:tc>
          <w:tcPr/>
          <w:p>
            <w:pPr>
              <w:pStyle w:val="Compact"/>
            </w:pPr>
            <w:r>
              <w:t xml:space="preserve">Structured capture for the interpret stage (§2.4). Schema:</w:t>
            </w:r>
            <w:r>
              <w:t xml:space="preserve"> </w:t>
            </w:r>
            <w:r>
              <w:rPr>
                <w:rStyle w:val="VerbatimChar"/>
              </w:rPr>
              <w:t xml:space="preserve">registers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memory_probes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coresight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terminal</w:t>
            </w:r>
          </w:p>
        </w:tc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Real-time progress; includes OpenOCD startup banner and per-section streaming output</w:t>
            </w:r>
          </w:p>
        </w:tc>
      </w:tr>
    </w:tbl>
    <w:p>
      <w:pPr>
        <w:pStyle w:val="BodyText"/>
      </w:pPr>
      <w:r>
        <w:t xml:space="preserve">The raw markdown and the raw JSON cover the same data in two</w:t>
      </w:r>
      <w:r>
        <w:t xml:space="preserve"> </w:t>
      </w:r>
      <w:r>
        <w:t xml:space="preserve">formats. The interpreted markdown (produced in §2.4) is layered on</w:t>
      </w:r>
      <w:r>
        <w:t xml:space="preserve"> </w:t>
      </w:r>
      <w:r>
        <w:t xml:space="preserve">top of the JSON.</w:t>
      </w:r>
    </w:p>
    <w:p>
      <w:pPr>
        <w:pStyle w:val="BodyText"/>
      </w:pPr>
      <w:r>
        <w:t xml:space="preserve">A clean run has these phases (visible in terminal):</w:t>
      </w:r>
    </w:p>
    <w:p>
      <w:pPr>
        <w:pStyle w:val="SourceCode"/>
      </w:pPr>
      <w:r>
        <w:rPr>
          <w:rStyle w:val="VerbatimChar"/>
        </w:rPr>
        <w:t xml:space="preserve">OpenOCD startup:</w:t>
      </w:r>
      <w:r>
        <w:br/>
      </w:r>
      <w:r>
        <w:rPr>
          <w:rStyle w:val="VerbatimChar"/>
        </w:rPr>
        <w:t xml:space="preserve">   - JTAG chain scan, IDCODEs reported</w:t>
      </w:r>
      <w:r>
        <w:br/>
      </w:r>
      <w:r>
        <w:rPr>
          <w:rStyle w:val="VerbatimChar"/>
        </w:rPr>
        <w:t xml:space="preserve">   - Target examination (A53 cores held in reset → expected warnings)</w:t>
      </w:r>
      <w:r>
        <w:br/>
      </w:r>
      <w:r>
        <w:br/>
      </w:r>
      <w:r>
        <w:rPr>
          <w:rStyle w:val="VerbatimChar"/>
        </w:rPr>
        <w:t xml:space="preserve">Section-by-section enumeration:</w:t>
      </w:r>
      <w:r>
        <w:br/>
      </w:r>
      <w:r>
        <w:rPr>
          <w:rStyle w:val="VerbatimChar"/>
        </w:rPr>
        <w:t xml:space="preserve">   §1  JTAG Chain               (no probes — metadata)</w:t>
      </w:r>
      <w:r>
        <w:br/>
      </w:r>
      <w:r>
        <w:rPr>
          <w:rStyle w:val="VerbatimChar"/>
        </w:rPr>
        <w:t xml:space="preserve">   §2  Silicon Identity         (IDCODE, version, DNA, variant lookup)</w:t>
      </w:r>
      <w:r>
        <w:br/>
      </w:r>
      <w:r>
        <w:rPr>
          <w:rStyle w:val="VerbatimChar"/>
        </w:rPr>
        <w:t xml:space="preserve">   §3  Boot State               (boot mode pins, reset reason, multi-boot)</w:t>
      </w:r>
      <w:r>
        <w:br/>
      </w:r>
      <w:r>
        <w:rPr>
          <w:rStyle w:val="VerbatimChar"/>
        </w:rPr>
        <w:t xml:space="preserve">   §4  Security State           (JTAG_SEC, JTAG_DAP_CFG, EFUSE.SEC_CTRL — the security spine)</w:t>
      </w:r>
      <w:r>
        <w:br/>
      </w:r>
      <w:r>
        <w:rPr>
          <w:rStyle w:val="VerbatimChar"/>
        </w:rPr>
        <w:t xml:space="preserve">   §5  Power State              (PWR_STATE, error history)</w:t>
      </w:r>
      <w:r>
        <w:br/>
      </w:r>
      <w:r>
        <w:rPr>
          <w:rStyle w:val="VerbatimChar"/>
        </w:rPr>
        <w:t xml:space="preserve">   §6  Clocks                   (PLLs, per-peripheral REF_CTRLs)</w:t>
      </w:r>
      <w:r>
        <w:br/>
      </w:r>
      <w:r>
        <w:rPr>
          <w:rStyle w:val="VerbatimChar"/>
        </w:rPr>
        <w:t xml:space="preserve">   §7  Reset State              (per-domain and per-peripheral resets)</w:t>
      </w:r>
      <w:r>
        <w:br/>
      </w:r>
      <w:r>
        <w:rPr>
          <w:rStyle w:val="VerbatimChar"/>
        </w:rPr>
        <w:t xml:space="preserve">   §8  A53 Release              (writes to RST_FPD_APU to release core 0, halts in EL3)</w:t>
      </w:r>
      <w:r>
        <w:br/>
      </w:r>
      <w:r>
        <w:rPr>
          <w:rStyle w:val="VerbatimChar"/>
        </w:rPr>
        <w:t xml:space="preserve">   §9  Code Execution           (OCM scan, conditional DDR scan)</w:t>
      </w:r>
      <w:r>
        <w:br/>
      </w:r>
      <w:r>
        <w:rPr>
          <w:rStyle w:val="VerbatimChar"/>
        </w:rPr>
        <w:t xml:space="preserve">   §10 CoreSight Topology       (per-AP `dap info N` capture into JSON; each AP's ROM-table walk + component PIDs)</w:t>
      </w:r>
      <w:r>
        <w:br/>
      </w:r>
      <w:r>
        <w:rPr>
          <w:rStyle w:val="VerbatimChar"/>
        </w:rPr>
        <w:t xml:space="preserve">   §11 Memory Map Reference     (documentation table embedded in the report)</w:t>
      </w:r>
      <w:r>
        <w:br/>
      </w:r>
      <w:r>
        <w:rPr>
          <w:rStyle w:val="VerbatimChar"/>
        </w:rPr>
        <w:t xml:space="preserve">   §12 Memory Map Probe         (block accessibility check)</w:t>
      </w:r>
      <w:r>
        <w:br/>
      </w:r>
      <w:r>
        <w:rPr>
          <w:rStyle w:val="VerbatimChar"/>
        </w:rPr>
        <w:t xml:space="preserve">   §13 XPPU                     (LPD peripheral protection — CTRL, ISR, master-ID slots)</w:t>
      </w:r>
      <w:r>
        <w:br/>
      </w:r>
      <w:r>
        <w:rPr>
          <w:rStyle w:val="VerbatimChar"/>
        </w:rPr>
        <w:t xml:space="preserve">   §14 RPU Configuration        (Cortex-R5 cluster — global mode, per-core CFG/STATUS/SLV_BASE)</w:t>
      </w:r>
      <w:r>
        <w:br/>
      </w:r>
      <w:r>
        <w:rPr>
          <w:rStyle w:val="VerbatimChar"/>
        </w:rPr>
        <w:t xml:space="preserve">   §15 IPI (APU agent window)   (inter-processor interrupt fabric from APU's view)</w:t>
      </w:r>
      <w:r>
        <w:br/>
      </w:r>
      <w:r>
        <w:rPr>
          <w:rStyle w:val="VerbatimChar"/>
        </w:rPr>
        <w:t xml:space="preserve">   §16 XMPU                     (OCM_XMPU + DDR_XMPU0 — memory-range protection)</w:t>
      </w:r>
      <w:r>
        <w:br/>
      </w:r>
      <w:r>
        <w:rPr>
          <w:rStyle w:val="VerbatimChar"/>
        </w:rPr>
        <w:t xml:space="preserve">   §17 PL TAP + PCAP            (FPGA configuration status — PL_DONE, PL_EOS, etc.)</w:t>
      </w:r>
      <w:r>
        <w:br/>
      </w:r>
      <w:r>
        <w:rPr>
          <w:rStyle w:val="VerbatimChar"/>
        </w:rPr>
        <w:t xml:space="preserve">   Cleanup                      (re-asserts A53 reset for next-run cleanliness)</w:t>
      </w:r>
    </w:p>
    <w:bookmarkEnd w:id="25"/>
    <w:bookmarkStart w:id="26" w:name="stage-4-interpret-run-interpret.py"/>
    <w:p>
      <w:pPr>
        <w:pStyle w:val="Heading3"/>
      </w:pPr>
      <w:r>
        <w:t xml:space="preserve">2.4 Stage 4 — Interpret (run interpret.py)</w:t>
      </w:r>
    </w:p>
    <w:p>
      <w:pPr>
        <w:pStyle w:val="FirstParagraph"/>
      </w:pPr>
      <w:r>
        <w:t xml:space="preserve">The capture stage produced a raw JSON; the interpret stage layers</w:t>
      </w:r>
      <w:r>
        <w:t xml:space="preserve"> </w:t>
      </w:r>
      <w:r>
        <w:t xml:space="preserve">findings + annotations on top of it. One command:</w:t>
      </w:r>
    </w:p>
    <w:p>
      <w:pPr>
        <w:pStyle w:val="SourceCode"/>
      </w:pPr>
      <w:r>
        <w:rPr>
          <w:rStyle w:val="VerbatimChar"/>
        </w:rPr>
        <w:t xml:space="preserve">python3 tools/interpret.py "$(ls -t reports/raw-*.json | head -1)" -O</w:t>
      </w:r>
    </w:p>
    <w:p>
      <w:pPr>
        <w:pStyle w:val="FirstParagraph"/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reports/interpreted-&lt;YYYY-MM-DD-HHMMSS&gt;.md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flag</w:t>
      </w:r>
      <w:r>
        <w:t xml:space="preserve"> </w:t>
      </w:r>
      <w:r>
        <w:t xml:space="preserve">auto-names the output to match the raw JSON’s timestamp.</w:t>
      </w:r>
    </w:p>
    <w:p>
      <w:pPr>
        <w:pStyle w:val="BodyText"/>
      </w:pPr>
      <w:r>
        <w:t xml:space="preserve">The interpreted report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What’s 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Silicon identity table</w:t>
            </w:r>
          </w:p>
        </w:tc>
        <w:tc>
          <w:tcPr/>
          <w:p>
            <w:pPr>
              <w:pStyle w:val="Compact"/>
            </w:pPr>
            <w:r>
              <w:t xml:space="preserve">Die, variant, DNA, silicon revision — from variant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(rules fired)</w:t>
            </w:r>
          </w:p>
        </w:tc>
        <w:tc>
          <w:tcPr/>
          <w:p>
            <w:pPr>
              <w:pStyle w:val="Compact"/>
            </w:pPr>
            <w:r>
              <w:t xml:space="preserve">Each rule that fired gets a coloured severity glyph (CRITICAL / MAJOR / MINOR / INFO — markdown viewers render these as red/orange/yellow/blue circles), description, conclusion prose, and offensive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CoreSight DAP topology</w:t>
            </w:r>
          </w:p>
        </w:tc>
        <w:tc>
          <w:tcPr/>
          <w:p>
            <w:pPr>
              <w:pStyle w:val="Compact"/>
            </w:pPr>
            <w:r>
              <w:t xml:space="preserve">Per-AP</w:t>
            </w:r>
            <w:r>
              <w:t xml:space="preserve"> </w:t>
            </w:r>
            <w:r>
              <w:rPr>
                <w:rStyle w:val="VerbatimChar"/>
              </w:rPr>
              <w:t xml:space="preserve">dap info N</w:t>
            </w:r>
            <w:r>
              <w:t xml:space="preserve"> </w:t>
            </w:r>
            <w:r>
              <w:t xml:space="preserve">output rendered verbatim from the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registers + annotated meanings</w:t>
            </w:r>
          </w:p>
        </w:tc>
        <w:tc>
          <w:tcPr/>
          <w:p>
            <w:pPr>
              <w:pStyle w:val="Compact"/>
            </w:pPr>
            <w:r>
              <w:t xml:space="preserve">Every captured register, every bit-field paired with its curated annotation when one exists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 options.</w:t>
      </w:r>
      <w:r>
        <w:t xml:space="preserve"> </w:t>
      </w:r>
      <w:r>
        <w:t xml:space="preserve">Default is compact (≈1000 lines for ZCU102 in</w:t>
      </w:r>
      <w:r>
        <w:t xml:space="preserve"> </w:t>
      </w:r>
      <w:r>
        <w:t xml:space="preserve">JTAG-idle): each field gets one line packing name + bits + value +</w:t>
      </w:r>
      <w:r>
        <w:t xml:space="preserve"> </w:t>
      </w:r>
      <w:r>
        <w:t xml:space="preserve">label + meaning. Pass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for the verbose archival layout</w:t>
      </w:r>
      <w:r>
        <w:t xml:space="preserve"> </w:t>
      </w:r>
      <w:r>
        <w:t xml:space="preserve">(≈1800 lines) with each field’s annotation on its own indented sub-bullet.</w:t>
      </w:r>
    </w:p>
    <w:p>
      <w:pPr>
        <w:pStyle w:val="SourceCode"/>
      </w:pPr>
      <w:r>
        <w:rPr>
          <w:rStyle w:val="VerbatimChar"/>
        </w:rPr>
        <w:t xml:space="preserve">python3 tools/interpret.py reports/raw-&lt;ts&gt;.json --full -O   # verbose</w:t>
      </w:r>
      <w:r>
        <w:br/>
      </w:r>
      <w:r>
        <w:rPr>
          <w:rStyle w:val="VerbatimChar"/>
        </w:rPr>
        <w:t xml:space="preserve">python3 tools/interpret.py reports/raw-&lt;ts&gt;.json -O          # compact (default)</w:t>
      </w:r>
    </w:p>
    <w:bookmarkEnd w:id="26"/>
    <w:bookmarkStart w:id="29" w:name="stage-5-read-the-report"/>
    <w:p>
      <w:pPr>
        <w:pStyle w:val="Heading3"/>
      </w:pPr>
      <w:r>
        <w:t xml:space="preserve">2.5 Stage 5 — Read the report</w:t>
      </w:r>
    </w:p>
    <w:p>
      <w:pPr>
        <w:pStyle w:val="FirstParagraph"/>
      </w:pPr>
      <w:r>
        <w:t xml:space="preserve">You have two markdown reports per run: the raw enumerate report</w:t>
      </w:r>
      <w:r>
        <w:t xml:space="preserve"> </w:t>
      </w:r>
      <w:r>
        <w:t xml:space="preserve">(what silicon returned) and the interpreted report (what it means).</w:t>
      </w:r>
      <w:r>
        <w:t xml:space="preserve"> </w:t>
      </w:r>
      <w:r>
        <w:t xml:space="preserve">For day-to-day work, read the interpreted report. The raw one is for</w:t>
      </w:r>
      <w:r>
        <w:t xml:space="preserve"> </w:t>
      </w:r>
      <w:r>
        <w:t xml:space="preserve">when you need to confirm an exact register value, diff against</w:t>
      </w:r>
      <w:r>
        <w:t xml:space="preserve"> </w:t>
      </w:r>
      <w:r>
        <w:t xml:space="preserve">another board byte-for-byte, or hand to a reviewer who wants the</w:t>
      </w:r>
      <w:r>
        <w:t xml:space="preserve"> </w:t>
      </w:r>
      <w:r>
        <w:t xml:space="preserve">unmediated transcript.</w:t>
      </w:r>
    </w:p>
    <w:p>
      <w:pPr>
        <w:pStyle w:val="BodyText"/>
      </w:pPr>
      <w:r>
        <w:t xml:space="preserve">Useful reading flow for the</w:t>
      </w:r>
      <w:r>
        <w:t xml:space="preserve"> </w:t>
      </w:r>
      <w:r>
        <w:rPr>
          <w:b/>
          <w:bCs/>
        </w:rPr>
        <w:t xml:space="preserve">interpreted</w:t>
      </w:r>
      <w:r>
        <w:t xml:space="preserve"> </w:t>
      </w:r>
      <w:r>
        <w:t xml:space="preserve">report: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the Findings section first.</w:t>
      </w:r>
      <w:r>
        <w:t xml:space="preserve"> </w:t>
      </w:r>
      <w:r>
        <w:t xml:space="preserve">This is the rule output —</w:t>
      </w:r>
      <w:r>
        <w:t xml:space="preserve"> </w:t>
      </w:r>
      <w:r>
        <w:t xml:space="preserve">on a stock ZCU102 in JTAG-idle, expect ~10 findings, mostly INFO</w:t>
      </w:r>
      <w:r>
        <w:t xml:space="preserve"> </w:t>
      </w:r>
      <w:r>
        <w:t xml:space="preserve">with one CRITICAL (SPIDEN — secure-world TrustZone debug enabled).</w:t>
      </w:r>
      <w:r>
        <w:t xml:space="preserve"> </w:t>
      </w:r>
      <w:r>
        <w:t xml:space="preserve">Each finding tells you what fired and why it matters.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Skim the Silicon identity table</w:t>
      </w:r>
      <w:r>
        <w:t xml:space="preserve"> </w:t>
      </w:r>
      <w:r>
        <w:t xml:space="preserve">— confirm which die you’re</w:t>
      </w:r>
      <w:r>
        <w:t xml:space="preserve"> </w:t>
      </w:r>
      <w:r>
        <w:t xml:space="preserve">on (XCZU9 for ZCU102) and write down the DNA if you’ll be</w:t>
      </w:r>
      <w:r>
        <w:t xml:space="preserve"> </w:t>
      </w:r>
      <w:r>
        <w:t xml:space="preserve">comparing across sessions.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Scroll to §4 in the per-register dump</w:t>
      </w:r>
      <w:r>
        <w:t xml:space="preserve"> </w:t>
      </w:r>
      <w:r>
        <w:t xml:space="preserve">— verify the security</w:t>
      </w:r>
      <w:r>
        <w:t xml:space="preserve"> </w:t>
      </w:r>
      <w:r>
        <w:t xml:space="preserve">spine fields (CSU.JTAG_SEC, JTAG_DAP_CFG, EFUSE.SEC_CTRL) match</w:t>
      </w:r>
      <w:r>
        <w:t xml:space="preserve"> </w:t>
      </w:r>
      <w:r>
        <w:t xml:space="preserve">what the Findings section claimed.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Glance at §8</w:t>
      </w:r>
      <w:r>
        <w:t xml:space="preserve"> </w:t>
      </w:r>
      <w:r>
        <w:t xml:space="preserve">— confirm A53 release succeeded (PC ends up at</w:t>
      </w:r>
      <w:r>
        <w:t xml:space="preserve"> </w:t>
      </w:r>
      <w:r>
        <w:rPr>
          <w:rStyle w:val="VerbatimChar"/>
        </w:rPr>
        <w:t xml:space="preserve">0xFFFC0000</w:t>
      </w:r>
      <w:r>
        <w:t xml:space="preserve">, our safe-landing instruction). If it didn’t, the</w:t>
      </w:r>
      <w:r>
        <w:t xml:space="preserve"> </w:t>
      </w:r>
      <w:r>
        <w:t xml:space="preserve">board needs power-cycling.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Skim §9</w:t>
      </w:r>
      <w:r>
        <w:t xml:space="preserve"> </w:t>
      </w:r>
      <w:r>
        <w:t xml:space="preserve">— for booted devices, this scans OCM and DDR for</w:t>
      </w:r>
      <w:r>
        <w:t xml:space="preserve"> </w:t>
      </w:r>
      <w:r>
        <w:t xml:space="preserve">known boot artifacts. In JTAG-idle this section is mostly empty.</w:t>
      </w:r>
    </w:p>
    <w:p>
      <w:pPr>
        <w:pStyle w:val="FirstParagraph"/>
      </w:pPr>
      <w:r>
        <w:t xml:space="preserve">Sections 5, 6, 7, 13-17 are usually only worth reading when</w:t>
      </w:r>
      <w:r>
        <w:t xml:space="preserve"> </w:t>
      </w:r>
      <w:r>
        <w:t xml:space="preserve">something mismatched expectations (PLL not locked, peripheral</w:t>
      </w:r>
      <w:r>
        <w:t xml:space="preserve"> </w:t>
      </w:r>
      <w:r>
        <w:t xml:space="preserve">unexpectedly powered, XMPU violation latched, FPGA configured when</w:t>
      </w:r>
      <w:r>
        <w:t xml:space="preserve"> </w:t>
      </w:r>
      <w:r>
        <w:t xml:space="preserve">you expected JTAG-idle, etc.). The interpreted report calls those</w:t>
      </w:r>
      <w:r>
        <w:t xml:space="preserve"> </w:t>
      </w:r>
      <w:r>
        <w:t xml:space="preserve">out in the Findings section regardless.</w:t>
      </w:r>
    </w:p>
    <w:p>
      <w:pPr>
        <w:pStyle w:val="BodyText"/>
      </w:pPr>
      <w:r>
        <w:t xml:space="preserve">For the operator’s-eye-view of</w:t>
      </w:r>
      <w:r>
        <w:t xml:space="preserve"> </w:t>
      </w:r>
      <w:r>
        <w:t xml:space="preserve">“what does each field mean, what</w:t>
      </w:r>
      <w:r>
        <w:t xml:space="preserve"> </w:t>
      </w:r>
      <w:r>
        <w:t xml:space="preserve">should I write down, what do I do if I see X”</w:t>
      </w:r>
      <w:r>
        <w:t xml:space="preserve"> </w:t>
      </w:r>
      <w:r>
        <w:t xml:space="preserve">— see the companion</w:t>
      </w:r>
      <w:r>
        <w:t xml:space="preserve"> </w:t>
      </w:r>
      <w:r>
        <w:t xml:space="preserve">guide</w:t>
      </w:r>
      <w:r>
        <w:t xml:space="preserve"> </w:t>
      </w:r>
      <w:hyperlink r:id="rId27">
        <w:r>
          <w:rPr>
            <w:rStyle w:val="VerbatimChar"/>
          </w:rPr>
          <w:t xml:space="preserve">docs/guides/operator-quick-reference.md</w:t>
        </w:r>
      </w:hyperlink>
      <w:r>
        <w:t xml:space="preserve">.</w:t>
      </w:r>
    </w:p>
    <w:bookmarkStart w:id="28" w:name="reading-a-finding"/>
    <w:p>
      <w:pPr>
        <w:pStyle w:val="Heading4"/>
      </w:pPr>
      <w:r>
        <w:t xml:space="preserve">Reading a finding</w:t>
      </w:r>
    </w:p>
    <w:p>
      <w:pPr>
        <w:pStyle w:val="FirstParagraph"/>
      </w:pPr>
      <w:r>
        <w:t xml:space="preserve">Each fired rule in the interpreted report looks like this:</w:t>
      </w:r>
    </w:p>
    <w:p>
      <w:pPr>
        <w:pStyle w:val="SourceCode"/>
      </w:pPr>
      <w:r>
        <w:rPr>
          <w:rStyle w:val="VerbatimChar"/>
        </w:rPr>
        <w:t xml:space="preserve">### [CRITICAL] Secure-world TrustZone debug enabled</w:t>
      </w:r>
      <w:r>
        <w:br/>
      </w:r>
      <w:r>
        <w:br/>
      </w:r>
      <w:r>
        <w:rPr>
          <w:rStyle w:val="VerbatimChar"/>
        </w:rPr>
        <w:t xml:space="preserve">_SPIDEN bit is set — JTAG can halt and inspect the EL3 monitor /</w:t>
      </w:r>
      <w:r>
        <w:br/>
      </w:r>
      <w:r>
        <w:rPr>
          <w:rStyle w:val="VerbatimChar"/>
        </w:rPr>
        <w:t xml:space="preserve">TrustZone secure world._</w:t>
      </w:r>
      <w:r>
        <w:br/>
      </w:r>
      <w:r>
        <w:br/>
      </w:r>
      <w:r>
        <w:rPr>
          <w:rStyle w:val="VerbatimChar"/>
        </w:rPr>
        <w:t xml:space="preserve">**Conclusion:** Secure-world debug is the single most consequential</w:t>
      </w:r>
      <w:r>
        <w:br/>
      </w:r>
      <w:r>
        <w:rPr>
          <w:rStyle w:val="VerbatimChar"/>
        </w:rPr>
        <w:t xml:space="preserve">JTAG security signal on ZynqMP. With SPIDEN=1, an attacker with</w:t>
      </w:r>
      <w:r>
        <w:br/>
      </w:r>
      <w:r>
        <w:rPr>
          <w:rStyle w:val="VerbatimChar"/>
        </w:rPr>
        <w:t xml:space="preserve">physical JTAG access can halt the A53 in EL3 (highest ARMv8</w:t>
      </w:r>
      <w:r>
        <w:br/>
      </w:r>
      <w:r>
        <w:rPr>
          <w:rStyle w:val="VerbatimChar"/>
        </w:rPr>
        <w:t xml:space="preserve">privilege)...</w:t>
      </w:r>
      <w:r>
        <w:br/>
      </w:r>
      <w:r>
        <w:br/>
      </w:r>
      <w:r>
        <w:rPr>
          <w:rStyle w:val="VerbatimChar"/>
        </w:rPr>
        <w:t xml:space="preserve">**Offensive implications:**</w:t>
      </w:r>
      <w:r>
        <w:br/>
      </w:r>
      <w:r>
        <w:br/>
      </w:r>
      <w:r>
        <w:rPr>
          <w:rStyle w:val="VerbatimChar"/>
        </w:rPr>
        <w:t xml:space="preserve">- Direct read of AES decryption keys from secure-world memory</w:t>
      </w:r>
      <w:r>
        <w:br/>
      </w:r>
      <w:r>
        <w:rPr>
          <w:rStyle w:val="VerbatimChar"/>
        </w:rPr>
        <w:t xml:space="preserve">- Direct read of attestation/identity material protected by TrustZone OS</w:t>
      </w:r>
      <w:r>
        <w:br/>
      </w:r>
      <w:r>
        <w:rPr>
          <w:rStyle w:val="VerbatimChar"/>
        </w:rPr>
        <w:t xml:space="preserve">- Halt and modify the EL3 monitor — TrustZone rootkit primitive</w:t>
      </w:r>
      <w:r>
        <w:br/>
      </w:r>
      <w:r>
        <w:rPr>
          <w:rStyle w:val="VerbatimChar"/>
        </w:rPr>
        <w:t xml:space="preserve">- ...</w:t>
      </w:r>
    </w:p>
    <w:p>
      <w:pPr>
        <w:pStyle w:val="FirstParagraph"/>
      </w:pPr>
      <w:r>
        <w:t xml:space="preserve">(In an actual markdown viewer, the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t xml:space="preserve">placeholder is</w:t>
      </w:r>
      <w:r>
        <w:t xml:space="preserve"> </w:t>
      </w:r>
      <w:r>
        <w:t xml:space="preserve">rendered by</w:t>
      </w:r>
      <w:r>
        <w:t xml:space="preserve"> </w:t>
      </w:r>
      <w:r>
        <w:rPr>
          <w:rStyle w:val="VerbatimChar"/>
        </w:rPr>
        <w:t xml:space="preserve">interpret.py</w:t>
      </w:r>
      <w:r>
        <w:t xml:space="preserve"> </w:t>
      </w:r>
      <w:r>
        <w:t xml:space="preserve">as a red filled circle; the PDF</w:t>
      </w:r>
      <w:r>
        <w:t xml:space="preserve"> </w:t>
      </w:r>
      <w:r>
        <w:t xml:space="preserve">representation here strips the glyph for font portability.)</w:t>
      </w:r>
    </w:p>
    <w:p>
      <w:pPr>
        <w:pStyle w:val="BodyText"/>
      </w:pPr>
      <w:r>
        <w:t xml:space="preserve">The severity glyph, the rule name, the one-line description, the</w:t>
      </w:r>
      <w:r>
        <w:t xml:space="preserve"> </w:t>
      </w:r>
      <w:r>
        <w:t xml:space="preserve">conclusion prose, and the offensive-implications list all come from</w:t>
      </w:r>
      <w:r>
        <w:t xml:space="preserve"> </w:t>
      </w:r>
      <w:r>
        <w:t xml:space="preserve">the corresponding</w:t>
      </w:r>
      <w:r>
        <w:t xml:space="preserve"> </w:t>
      </w:r>
      <w:r>
        <w:rPr>
          <w:rStyle w:val="VerbatimChar"/>
        </w:rPr>
        <w:t xml:space="preserve">rule_*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docs/findings/zynqmp_rules.py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case-study-zcu102-in-jtag-idle-mode"/>
    <w:p>
      <w:pPr>
        <w:pStyle w:val="Heading2"/>
      </w:pPr>
      <w:r>
        <w:t xml:space="preserve">3. Case Study: ZCU102 in JTAG-Idle Mode</w:t>
      </w:r>
    </w:p>
    <w:p>
      <w:pPr>
        <w:pStyle w:val="FirstParagraph"/>
      </w:pPr>
      <w:r>
        <w:t xml:space="preserve">This section walks through real enumeration output from a ZCU102 dev</w:t>
      </w:r>
      <w:r>
        <w:t xml:space="preserve"> </w:t>
      </w:r>
      <w:r>
        <w:t xml:space="preserve">board in JTAG-idle (cleanest baseline). Excerpts are taken directly</w:t>
      </w:r>
      <w:r>
        <w:t xml:space="preserve"> </w:t>
      </w:r>
      <w:r>
        <w:t xml:space="preserve">from a saved report file; everything is reproducible from a fresh</w:t>
      </w:r>
      <w:r>
        <w:t xml:space="preserve"> </w:t>
      </w:r>
      <w:r>
        <w:t xml:space="preserve">power-on.</w:t>
      </w:r>
    </w:p>
    <w:bookmarkStart w:id="31" w:name="silicon-identity"/>
    <w:p>
      <w:pPr>
        <w:pStyle w:val="Heading3"/>
      </w:pPr>
      <w:r>
        <w:t xml:space="preserve">3.1 Silicon identity</w:t>
      </w:r>
    </w:p>
    <w:p>
      <w:pPr>
        <w:pStyle w:val="FirstParagraph"/>
      </w:pPr>
      <w:r>
        <w:t xml:space="preserve">Raw register dump (§2):</w:t>
      </w:r>
    </w:p>
    <w:p>
      <w:pPr>
        <w:pStyle w:val="SourceCode"/>
      </w:pPr>
      <w:r>
        <w:rPr>
          <w:rStyle w:val="VerbatimChar"/>
        </w:rPr>
        <w:t xml:space="preserve">- CSU_IDCODE: 0xffca0040 = 0x24738093</w:t>
      </w:r>
      <w:r>
        <w:br/>
      </w:r>
      <w:r>
        <w:rPr>
          <w:rStyle w:val="VerbatimChar"/>
        </w:rPr>
        <w:t xml:space="preserve">    [ 0]     CONST_1     = 1</w:t>
      </w:r>
      <w:r>
        <w:br/>
      </w:r>
      <w:r>
        <w:rPr>
          <w:rStyle w:val="VerbatimChar"/>
        </w:rPr>
        <w:t xml:space="preserve">    [11: 1] MANUF_ID    = 0x49 (Xilinx, JEP106)</w:t>
      </w:r>
      <w:r>
        <w:br/>
      </w:r>
      <w:r>
        <w:rPr>
          <w:rStyle w:val="VerbatimChar"/>
        </w:rPr>
        <w:t xml:space="preserve">    [27:12] PART_ID     = 0x4738 (XCZU9 die)</w:t>
      </w:r>
      <w:r>
        <w:br/>
      </w:r>
      <w:r>
        <w:rPr>
          <w:rStyle w:val="VerbatimChar"/>
        </w:rPr>
        <w:t xml:space="preserve">    [31:28] REVISION    = 0x2  (silicon rev 2)</w:t>
      </w:r>
      <w:r>
        <w:br/>
      </w:r>
      <w:r>
        <w:br/>
      </w:r>
      <w:r>
        <w:rPr>
          <w:rStyle w:val="VerbatimChar"/>
        </w:rPr>
        <w:t xml:space="preserve">- CSU_VERSION: 0xffca0044 = 0x00000513</w:t>
      </w:r>
      <w:r>
        <w:br/>
      </w:r>
      <w:r>
        <w:rPr>
          <w:rStyle w:val="VerbatimChar"/>
        </w:rPr>
        <w:t xml:space="preserve">    [15:12] PLATFORM    = 0x0</w:t>
      </w:r>
      <w:r>
        <w:br/>
      </w:r>
      <w:r>
        <w:rPr>
          <w:rStyle w:val="VerbatimChar"/>
        </w:rPr>
        <w:t xml:space="preserve">    [ 3: 0] PS_VERSION  = 0x3 (production silicon)</w:t>
      </w:r>
      <w:r>
        <w:br/>
      </w:r>
      <w:r>
        <w:br/>
      </w:r>
      <w:r>
        <w:rPr>
          <w:rStyle w:val="VerbatimChar"/>
        </w:rPr>
        <w:t xml:space="preserve">eFUSE Device DNA (96 bits):</w:t>
      </w:r>
      <w:r>
        <w:br/>
      </w:r>
      <w:r>
        <w:rPr>
          <w:rStyle w:val="VerbatimChar"/>
        </w:rPr>
        <w:t xml:space="preserve">- DNA[31:0]:  0x44804345</w:t>
      </w:r>
      <w:r>
        <w:br/>
      </w:r>
      <w:r>
        <w:rPr>
          <w:rStyle w:val="VerbatimChar"/>
        </w:rPr>
        <w:t xml:space="preserve">- DNA[63:32]: 0x0170cfa7</w:t>
      </w:r>
      <w:r>
        <w:br/>
      </w:r>
      <w:r>
        <w:rPr>
          <w:rStyle w:val="VerbatimChar"/>
        </w:rPr>
        <w:t xml:space="preserve">- DNA[95:64]: 0x40000000</w:t>
      </w:r>
    </w:p>
    <w:p>
      <w:pPr>
        <w:pStyle w:val="FirstParagraph"/>
      </w:pPr>
      <w:r>
        <w:t xml:space="preserve">Findings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 identity</w:t>
            </w:r>
          </w:p>
        </w:tc>
        <w:tc>
          <w:tcPr/>
          <w:p>
            <w:pPr>
              <w:pStyle w:val="Compact"/>
            </w:pPr>
            <w:r>
              <w:t xml:space="preserve">XCZU9 (EG/CG) (4-core A53, family=zynqmp)</w:t>
            </w:r>
          </w:p>
        </w:tc>
        <w:tc>
          <w:tcPr/>
          <w:p>
            <w:pPr>
              <w:pStyle w:val="Compact"/>
            </w:pPr>
            <w:r>
              <w:t xml:space="preserve">PART_ID 0x4738, silicon rev 2. Quad A53; ZCU102 ships with ZU9EG — no VCU on this 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Silicon variant</w:t>
            </w:r>
          </w:p>
        </w:tc>
        <w:tc>
          <w:tcPr/>
          <w:p>
            <w:pPr>
              <w:pStyle w:val="Compact"/>
            </w:pPr>
            <w:r>
              <w:t xml:space="preserve">PS_VERSION=3 → production silicon</w:t>
            </w:r>
          </w:p>
        </w:tc>
        <w:tc>
          <w:tcPr/>
          <w:p>
            <w:pPr>
              <w:pStyle w:val="Compact"/>
            </w:pPr>
            <w:r>
              <w:t xml:space="preserve">Production is common; ES1/ES2 = early revision with possible errata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DNA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0x44804345</w:t>
            </w:r>
            <w:r>
              <w:t xml:space="preserve"> </w:t>
            </w:r>
            <w:r>
              <w:rPr>
                <w:rStyle w:val="VerbatimChar"/>
              </w:rPr>
              <w:t xml:space="preserve">0x0170cfa7</w:t>
            </w:r>
            <w:r>
              <w:t xml:space="preserve"> </w:t>
            </w:r>
            <w:r>
              <w:rPr>
                <w:rStyle w:val="VerbatimChar"/>
              </w:rPr>
              <w:t xml:space="preserve">0x40000000</w:t>
            </w:r>
          </w:p>
        </w:tc>
        <w:tc>
          <w:tcPr/>
          <w:p>
            <w:pPr>
              <w:pStyle w:val="Compact"/>
            </w:pPr>
            <w:r>
              <w:t xml:space="preserve">Unique per-chip ID; useful for fingerprinting</w:t>
            </w:r>
          </w:p>
        </w:tc>
      </w:tr>
    </w:tbl>
    <w:p>
      <w:pPr>
        <w:pStyle w:val="BodyText"/>
      </w:pPr>
      <w:r>
        <w:t xml:space="preserve">Confirms: ZU9EG die, silicon rev 2, production silicon (not an</w:t>
      </w:r>
      <w:r>
        <w:t xml:space="preserve"> </w:t>
      </w:r>
      <w:r>
        <w:t xml:space="preserve">engineering sample), and the DNA we’ll fingerprint against. The</w:t>
      </w:r>
      <w:r>
        <w:t xml:space="preserve"> </w:t>
      </w:r>
      <w:r>
        <w:t xml:space="preserve">“no VCU on this die”</w:t>
      </w:r>
      <w:r>
        <w:t xml:space="preserve"> </w:t>
      </w:r>
      <w:r>
        <w:t xml:space="preserve">note comes from the variant lookup table —</w:t>
      </w:r>
      <w:r>
        <w:t xml:space="preserve"> </w:t>
      </w:r>
      <w:r>
        <w:t xml:space="preserve">even if the package suffix were EV, this specific die doesn’t bond</w:t>
      </w:r>
      <w:r>
        <w:t xml:space="preserve"> </w:t>
      </w:r>
      <w:r>
        <w:t xml:space="preserve">VCU silicon.</w:t>
      </w:r>
    </w:p>
    <w:bookmarkEnd w:id="31"/>
    <w:bookmarkStart w:id="32" w:name="boot-state"/>
    <w:p>
      <w:pPr>
        <w:pStyle w:val="Heading3"/>
      </w:pPr>
      <w:r>
        <w:t xml:space="preserve">3.2 Boot state</w:t>
      </w:r>
    </w:p>
    <w:p>
      <w:pPr>
        <w:pStyle w:val="SourceCode"/>
      </w:pPr>
      <w:r>
        <w:rPr>
          <w:rStyle w:val="VerbatimChar"/>
        </w:rPr>
        <w:t xml:space="preserve">- CRL_APB.BOOT_MODE_USER: 0xff5e0200 = 0x00000000</w:t>
      </w:r>
      <w:r>
        <w:br/>
      </w:r>
      <w:r>
        <w:rPr>
          <w:rStyle w:val="VerbatimChar"/>
        </w:rPr>
        <w:t xml:space="preserve">    [15:12] ALT_BOOT_MODE = 0x0</w:t>
      </w:r>
      <w:r>
        <w:br/>
      </w:r>
      <w:r>
        <w:rPr>
          <w:rStyle w:val="VerbatimChar"/>
        </w:rPr>
        <w:t xml:space="preserve">    [ 8]    USE_ALT       = 0</w:t>
      </w:r>
      <w:r>
        <w:br/>
      </w:r>
      <w:r>
        <w:rPr>
          <w:rStyle w:val="VerbatimChar"/>
        </w:rPr>
        <w:t xml:space="preserve">    [ 3: 0] BOOT_MODE     = 0x0  (JTAG idle)</w:t>
      </w:r>
      <w:r>
        <w:br/>
      </w:r>
      <w:r>
        <w:br/>
      </w:r>
      <w:r>
        <w:rPr>
          <w:rStyle w:val="VerbatimChar"/>
        </w:rPr>
        <w:t xml:space="preserve">- CRL_APB.RESET_REASON: 0xff5e0220 = 0x00000001</w:t>
      </w:r>
      <w:r>
        <w:br/>
      </w:r>
      <w:r>
        <w:rPr>
          <w:rStyle w:val="VerbatimChar"/>
        </w:rPr>
        <w:t xml:space="preserve">    [ 0]    EXTERNAL_POR  = 1</w:t>
      </w:r>
      <w:r>
        <w:br/>
      </w:r>
      <w:r>
        <w:rPr>
          <w:rStyle w:val="VerbatimChar"/>
        </w:rPr>
        <w:t xml:space="preserve">    ... (all other bits 0)</w:t>
      </w:r>
    </w:p>
    <w:p>
      <w:pPr>
        <w:pStyle w:val="FirstParagraph"/>
      </w:pPr>
      <w:r>
        <w:t xml:space="preserve">Findings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mode</w:t>
            </w:r>
          </w:p>
        </w:tc>
        <w:tc>
          <w:tcPr/>
          <w:p>
            <w:pPr>
              <w:pStyle w:val="Compact"/>
            </w:pPr>
            <w:r>
              <w:t xml:space="preserve">0 → JTAG idle</w:t>
            </w:r>
          </w:p>
        </w:tc>
        <w:tc>
          <w:tcPr/>
          <w:p>
            <w:pPr>
              <w:pStyle w:val="Compact"/>
            </w:pPr>
            <w:r>
              <w:t xml:space="preserve">Cleanest research baseline. No FSBL ran. APU cores in reset. Only BootROM executed.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reason</w:t>
            </w:r>
          </w:p>
        </w:tc>
        <w:tc>
          <w:tcPr/>
          <w:p>
            <w:pPr>
              <w:pStyle w:val="Compact"/>
            </w:pPr>
            <w:r>
              <w:t xml:space="preserve">EXTERNAL_POR</w:t>
            </w:r>
          </w:p>
        </w:tc>
        <w:tc>
          <w:tcPr/>
          <w:p>
            <w:pPr>
              <w:pStyle w:val="Compact"/>
            </w:pPr>
            <w:r>
              <w:t xml:space="preserve">Fresh baseline — POR only, no prior software state.</w:t>
            </w:r>
          </w:p>
        </w:tc>
      </w:tr>
    </w:tbl>
    <w:p>
      <w:pPr>
        <w:pStyle w:val="BodyText"/>
      </w:pPr>
      <w:r>
        <w:t xml:space="preserve">We’re in the cleanest possible state for enumeration.</w:t>
      </w:r>
    </w:p>
    <w:bookmarkEnd w:id="32"/>
    <w:bookmarkStart w:id="33" w:name="X604dbd91df1bf419c3ba3bf7fd1ebca7bff364c"/>
    <w:p>
      <w:pPr>
        <w:pStyle w:val="Heading3"/>
      </w:pPr>
      <w:r>
        <w:t xml:space="preserve">3.3 Security state — the most important section</w:t>
      </w:r>
    </w:p>
    <w:p>
      <w:pPr>
        <w:pStyle w:val="SourceCode"/>
      </w:pPr>
      <w:r>
        <w:rPr>
          <w:rStyle w:val="VerbatimChar"/>
        </w:rPr>
        <w:t xml:space="preserve">- CSU.JTAG_SEC: 0xffca0038 = 0x0000003f</w:t>
      </w:r>
      <w:r>
        <w:br/>
      </w:r>
      <w:r>
        <w:rPr>
          <w:rStyle w:val="VerbatimChar"/>
        </w:rPr>
        <w:t xml:space="preserve">    [ 8: 6] SSSS_PMU_SEC   = 0x0  (PMU path gated)</w:t>
      </w:r>
      <w:r>
        <w:br/>
      </w:r>
      <w:r>
        <w:rPr>
          <w:rStyle w:val="VerbatimChar"/>
        </w:rPr>
        <w:t xml:space="preserve">    [ 5: 3] SSSS_PLTAP_SEC = 0x7  (PL TAP path open)</w:t>
      </w:r>
      <w:r>
        <w:br/>
      </w:r>
      <w:r>
        <w:rPr>
          <w:rStyle w:val="VerbatimChar"/>
        </w:rPr>
        <w:t xml:space="preserve">    [ 2: 0] SSSS_DAP_SEC   = 0x7  (DAP path open)</w:t>
      </w:r>
      <w:r>
        <w:br/>
      </w:r>
      <w:r>
        <w:br/>
      </w:r>
      <w:r>
        <w:rPr>
          <w:rStyle w:val="VerbatimChar"/>
        </w:rPr>
        <w:t xml:space="preserve">- CSU.JTAG_DAP_CFG: 0xffca003c = 0x000000ff</w:t>
      </w:r>
      <w:r>
        <w:br/>
      </w:r>
      <w:r>
        <w:rPr>
          <w:rStyle w:val="VerbatimChar"/>
        </w:rPr>
        <w:t xml:space="preserve">    [ 5] SSSS_RPU_NIDEN   = 1</w:t>
      </w:r>
      <w:r>
        <w:br/>
      </w:r>
      <w:r>
        <w:rPr>
          <w:rStyle w:val="VerbatimChar"/>
        </w:rPr>
        <w:t xml:space="preserve">    [ 4] SSSS_RPU_DBGEN   = 1</w:t>
      </w:r>
      <w:r>
        <w:br/>
      </w:r>
      <w:r>
        <w:rPr>
          <w:rStyle w:val="VerbatimChar"/>
        </w:rPr>
        <w:t xml:space="preserve">    [ 3] SSSS_APU_SPNIDEN = 1   ← secure-world TRACE enabled</w:t>
      </w:r>
      <w:r>
        <w:br/>
      </w:r>
      <w:r>
        <w:rPr>
          <w:rStyle w:val="VerbatimChar"/>
        </w:rPr>
        <w:t xml:space="preserve">    [ 2] SSSS_APU_SPIDEN  = 1   ← secure-world DEBUG enabled</w:t>
      </w:r>
      <w:r>
        <w:br/>
      </w:r>
      <w:r>
        <w:rPr>
          <w:rStyle w:val="VerbatimChar"/>
        </w:rPr>
        <w:t xml:space="preserve">    [ 1] SSSS_APU_NIDEN   = 1</w:t>
      </w:r>
      <w:r>
        <w:br/>
      </w:r>
      <w:r>
        <w:rPr>
          <w:rStyle w:val="VerbatimChar"/>
        </w:rPr>
        <w:t xml:space="preserve">    [ 0] SSSS_APU_DBGEN   = 1</w:t>
      </w:r>
    </w:p>
    <w:p>
      <w:pPr>
        <w:pStyle w:val="FirstParagraph"/>
      </w:pPr>
      <w:r>
        <w:t xml:space="preserve">Findings table (abbreviated):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APU invasive debug (DBGEN)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Cluster-wide gate. 1 = halt/step/breakpoint 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APU non-invasive trace (NIDEN)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= ETM/trace output allowed without halting.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APU SECURE invasive debug (SPIDEN)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 OPEN — secure-world TrustZone debug is enabled.</w:t>
            </w:r>
            <w:r>
              <w:t xml:space="preserve"> </w:t>
            </w:r>
            <w:r>
              <w:t xml:space="preserve">Can halt/inspect EL3 monitor, secure-world OS. Expected 0 on hardened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APU SECURE non-invasive trace (SPNIDEN)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Secure-world trace enabled</w:t>
            </w:r>
            <w:r>
              <w:t xml:space="preserve"> </w:t>
            </w:r>
            <w:r>
              <w:t xml:space="preserve">— can observe TrustZone execution without halting.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RPU invasive debug (DBGEN)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= R5 cluster debug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RPU non-invasive trace (NIDEN)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= R5 trace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 path (CSU SSS → ARM DAP)</w:t>
            </w:r>
          </w:p>
        </w:tc>
        <w:tc>
          <w:tcPr/>
          <w:p>
            <w:pPr>
              <w:pStyle w:val="Compact"/>
            </w:pPr>
            <w:r>
              <w:t xml:space="preserve">0x7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UNLOCKED</w:t>
            </w:r>
            <w:r>
              <w:t xml:space="preserve"> </w:t>
            </w:r>
            <w:r>
              <w:t xml:space="preserve">— secure stream switch to DAP 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PLTAP path (CSU SSS → PL JTAG)</w:t>
            </w:r>
          </w:p>
        </w:tc>
        <w:tc>
          <w:tcPr/>
          <w:p>
            <w:pPr>
              <w:pStyle w:val="Compact"/>
            </w:pPr>
            <w:r>
              <w:t xml:space="preserve">0x7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UNLOCKED</w:t>
            </w:r>
            <w:r>
              <w:t xml:space="preserve"> </w:t>
            </w:r>
            <w:r>
              <w:t xml:space="preserve">— secure stream switch to PL TAP 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PMU path (CSU SSS → PMU)</w:t>
            </w:r>
          </w:p>
        </w:tc>
        <w:tc>
          <w:tcPr/>
          <w:p>
            <w:pPr>
              <w:pStyle w:val="Compact"/>
            </w:pPr>
            <w:r>
              <w:t xml:space="preserve">0x0</w:t>
            </w:r>
          </w:p>
        </w:tc>
        <w:tc>
          <w:tcPr/>
          <w:p>
            <w:pPr>
              <w:pStyle w:val="Compact"/>
            </w:pPr>
            <w:r>
              <w:t xml:space="preserve">Gated/partially gated.</w:t>
            </w:r>
          </w:p>
        </w:tc>
      </w:tr>
    </w:tbl>
    <w:p>
      <w:pPr>
        <w:pStyle w:val="BodyText"/>
      </w:pPr>
      <w:r>
        <w:t xml:space="preserve">eFUSE secure-boot policy:</w:t>
      </w:r>
    </w:p>
    <w:p>
      <w:pPr>
        <w:pStyle w:val="SourceCode"/>
      </w:pPr>
      <w:r>
        <w:rPr>
          <w:rStyle w:val="VerbatimChar"/>
        </w:rPr>
        <w:t xml:space="preserve">- EFUSE.SEC_CTRL: 0xffcc1058 = 0x00000000</w:t>
      </w:r>
      <w:r>
        <w:br/>
      </w:r>
      <w:r>
        <w:rPr>
          <w:rStyle w:val="VerbatimChar"/>
        </w:rPr>
        <w:t xml:space="preserve">    All bits clear: AES_RDLK=0, AES_WRLK=0, ENC_ONLY=0, BBRAM_DIS=0,</w:t>
      </w:r>
      <w:r>
        <w:br/>
      </w:r>
      <w:r>
        <w:rPr>
          <w:rStyle w:val="VerbatimChar"/>
        </w:rPr>
        <w:t xml:space="preserve">                    JTAG_DIS=0, SEC_LOCK=0, RSA_EN[25:11]=0, etc.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EFUSE.SEC_CTRL overall</w:t>
            </w:r>
          </w:p>
        </w:tc>
        <w:tc>
          <w:tcPr/>
          <w:p>
            <w:pPr>
              <w:pStyle w:val="Compact"/>
            </w:pPr>
            <w:r>
              <w:t xml:space="preserve">0x00000000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Factory/dev default for an evaluation kit.</w:t>
            </w:r>
            <w:r>
              <w:t xml:space="preserve"> </w:t>
            </w:r>
            <w:r>
              <w:t xml:space="preserve">No security fuses blown.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JTAG_DIS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JTAG enabled at hardware level (we got this far, so this had to be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RSA_EN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RSA signature verification of boot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ENC_ONLY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Unencrypted boot images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SEC_LOCK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SEC_CTRL still mutable; one-way bits could still be blown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AES_RDLK / AES_WRLK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  <w:tc>
          <w:tcPr/>
          <w:p>
            <w:pPr>
              <w:pStyle w:val="Compact"/>
            </w:pPr>
            <w:r>
              <w:t xml:space="preserve">AES key in BBRAM/eFUSE can be read and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Hardened device baseline</w:t>
            </w:r>
          </w:p>
        </w:tc>
        <w:tc>
          <w:tcPr/>
          <w:p>
            <w:pPr>
              <w:pStyle w:val="Compact"/>
            </w:pPr>
            <w:r>
              <w:t xml:space="preserve">expect RSA_EN magic field set, SEC_LOCK=1, possibly JTAG_DIS=1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is what you’d compare against</w:t>
            </w:r>
            <w:r>
              <w:t xml:space="preserve"> </w:t>
            </w:r>
            <w:r>
              <w:t xml:space="preserve">for a production device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of security state.</w:t>
      </w:r>
      <w:r>
        <w:t xml:space="preserve"> </w:t>
      </w:r>
      <w:r>
        <w:t xml:space="preserve">Secure-world TrustZone debug is fully</w:t>
      </w:r>
      <w:r>
        <w:t xml:space="preserve"> </w:t>
      </w:r>
      <w:r>
        <w:t xml:space="preserve">open. APU and RPU debug are unrestricted. DAP and PLTAP paths to the</w:t>
      </w:r>
      <w:r>
        <w:t xml:space="preserve"> </w:t>
      </w:r>
      <w:r>
        <w:t xml:space="preserve">CSU stream switch are fully unlocked. The PMU path is gated, which</w:t>
      </w:r>
      <w:r>
        <w:t xml:space="preserve"> </w:t>
      </w:r>
      <w:r>
        <w:t xml:space="preserve">means the script can’t directly debug the PMU from JTAG — but the</w:t>
      </w:r>
      <w:r>
        <w:t xml:space="preserve"> </w:t>
      </w:r>
      <w:r>
        <w:t xml:space="preserve">PMU’s runtime state is still readable via memory reads. eFUSE is in</w:t>
      </w:r>
      <w:r>
        <w:t xml:space="preserve"> </w:t>
      </w:r>
      <w:r>
        <w:t xml:space="preserve">the factory-default state: nothing has been blown. This is the</w:t>
      </w:r>
      <w:r>
        <w:t xml:space="preserve"> </w:t>
      </w:r>
      <w:r>
        <w:t xml:space="preserve">maximum-access dev-kit posture.</w:t>
      </w:r>
    </w:p>
    <w:bookmarkEnd w:id="33"/>
    <w:bookmarkStart w:id="34" w:name="a53-release-succeeded"/>
    <w:p>
      <w:pPr>
        <w:pStyle w:val="Heading3"/>
      </w:pPr>
      <w:r>
        <w:t xml:space="preserve">3.4 A53 release succeeded</w:t>
      </w:r>
    </w:p>
    <w:p>
      <w:pPr>
        <w:pStyle w:val="SourceCode"/>
      </w:pPr>
      <w:r>
        <w:rPr>
          <w:rStyle w:val="VerbatimChar"/>
        </w:rPr>
        <w:t xml:space="preserve">A53.0 state: halted</w:t>
      </w:r>
      <w:r>
        <w:br/>
      </w:r>
      <w:r>
        <w:rPr>
          <w:rStyle w:val="VerbatimChar"/>
        </w:rPr>
        <w:t xml:space="preserve">PC = 0x00000000fffc0000   (our safe-landing instruction in OCM)</w:t>
      </w:r>
      <w:r>
        <w:br/>
      </w:r>
      <w:r>
        <w:rPr>
          <w:rStyle w:val="VerbatimChar"/>
        </w:rPr>
        <w:t xml:space="preserve">CPSR = 0x000003cd          (EL3H, AArch64, all interrupts masked)</w:t>
      </w:r>
    </w:p>
    <w:p>
      <w:pPr>
        <w:pStyle w:val="FirstParagraph"/>
      </w:pPr>
      <w:r>
        <w:t xml:space="preserve">Findings: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A53 core 0 state</w:t>
            </w:r>
          </w:p>
        </w:tc>
        <w:tc>
          <w:tcPr/>
          <w:p>
            <w:pPr>
              <w:pStyle w:val="Compact"/>
            </w:pPr>
            <w:r>
              <w:t xml:space="preserve">halted at PC = 0xFFFC0000, CPSR mode = EL3H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EL3H = Exception Level 3, Handler mode — the highest ARMv8 privilege.</w:t>
            </w:r>
            <w:r>
              <w:t xml:space="preserve"> </w:t>
            </w:r>
            <w:r>
              <w:t xml:space="preserve">Above any OS, hypervisor, or TrustZone monitor. Can read/write any memory and any system register.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capabilities unlocked</w:t>
            </w:r>
          </w:p>
        </w:tc>
        <w:tc>
          <w:tcPr/>
          <w:p>
            <w:pPr>
              <w:pStyle w:val="Compact"/>
            </w:pPr>
            <w:r>
              <w:t xml:space="preserve">halt, single-step, memory-write at EL3</w:t>
            </w:r>
          </w:p>
        </w:tc>
        <w:tc>
          <w:tcPr/>
          <w:p>
            <w:pPr>
              <w:pStyle w:val="Compact"/>
            </w:pPr>
            <w:r>
              <w:t xml:space="preserve">Inject arbitrary code, dump TrustZone-protected memory once enabled, install rogue EL3 handlers, observe secure-world execution.</w:t>
            </w:r>
          </w:p>
        </w:tc>
      </w:tr>
    </w:tbl>
    <w:p>
      <w:pPr>
        <w:pStyle w:val="BodyText"/>
      </w:pPr>
      <w:r>
        <w:t xml:space="preserve">This confirms our minimum-viable execution control on the device:</w:t>
      </w:r>
      <w:r>
        <w:t xml:space="preserve"> </w:t>
      </w:r>
      <w:r>
        <w:t xml:space="preserve">A53 core 0 is halted in EL3 with no FSBL, no PMU firmware, no ATF.</w:t>
      </w:r>
      <w:r>
        <w:t xml:space="preserve"> </w:t>
      </w:r>
      <w:r>
        <w:t xml:space="preserve">From this state we can:</w:t>
      </w:r>
    </w:p>
    <w:p>
      <w:pPr>
        <w:pStyle w:val="Compact"/>
        <w:numPr>
          <w:ilvl w:val="0"/>
          <w:numId w:val="1002"/>
        </w:numPr>
      </w:pPr>
      <w:r>
        <w:t xml:space="preserve">Read any address the AXI mem-AP can reach</w:t>
      </w:r>
    </w:p>
    <w:p>
      <w:pPr>
        <w:pStyle w:val="Compact"/>
        <w:numPr>
          <w:ilvl w:val="0"/>
          <w:numId w:val="1002"/>
        </w:numPr>
      </w:pPr>
      <w:r>
        <w:t xml:space="preserve">Write to any writable region</w:t>
      </w:r>
    </w:p>
    <w:p>
      <w:pPr>
        <w:pStyle w:val="Compact"/>
        <w:numPr>
          <w:ilvl w:val="0"/>
          <w:numId w:val="1002"/>
        </w:numPr>
      </w:pPr>
      <w:r>
        <w:t xml:space="preserve">Set arbitrary RVBARADDR values</w:t>
      </w:r>
    </w:p>
    <w:p>
      <w:pPr>
        <w:pStyle w:val="Compact"/>
        <w:numPr>
          <w:ilvl w:val="0"/>
          <w:numId w:val="1002"/>
        </w:numPr>
      </w:pPr>
      <w:r>
        <w:t xml:space="preserve">Single-step through code we load</w:t>
      </w:r>
    </w:p>
    <w:p>
      <w:pPr>
        <w:pStyle w:val="Compact"/>
        <w:numPr>
          <w:ilvl w:val="0"/>
          <w:numId w:val="1002"/>
        </w:numPr>
      </w:pPr>
      <w:r>
        <w:t xml:space="preserve">Eventually capture system registers via stage-2 payloads (deferred)</w:t>
      </w:r>
    </w:p>
    <w:bookmarkEnd w:id="34"/>
    <w:bookmarkStart w:id="35" w:name="what-the-report-tells-us-in-aggregate"/>
    <w:p>
      <w:pPr>
        <w:pStyle w:val="Heading3"/>
      </w:pPr>
      <w:r>
        <w:t xml:space="preserve">3.5 What the report tells us in aggregate</w:t>
      </w:r>
    </w:p>
    <w:p>
      <w:pPr>
        <w:pStyle w:val="FirstParagraph"/>
      </w:pPr>
      <w:r>
        <w:t xml:space="preserve">For this ZCU102 dev kit in JTAG-idle: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Hardening posture:</w:t>
      </w:r>
      <w:r>
        <w:t xml:space="preserve"> </w:t>
      </w:r>
      <w:r>
        <w:t xml:space="preserve">factory dev kit. Every security gate is</w:t>
      </w:r>
      <w:r>
        <w:t xml:space="preserve"> </w:t>
      </w:r>
      <w:r>
        <w:t xml:space="preserve">open. No eFUSEs have been blown.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Attack surface available right now:</w:t>
      </w:r>
      <w:r>
        <w:t xml:space="preserve"> </w:t>
      </w:r>
      <w:r>
        <w:t xml:space="preserve">full SoC memory, all CSU</w:t>
      </w:r>
      <w:r>
        <w:t xml:space="preserve"> </w:t>
      </w:r>
      <w:r>
        <w:t xml:space="preserve">registers, eFUSE shadow, BBRAM, PMU memory (read-only via memory</w:t>
      </w:r>
      <w:r>
        <w:t xml:space="preserve"> </w:t>
      </w:r>
      <w:r>
        <w:t xml:space="preserve">reads since PMU path is gated for direct debug), APU and RPU debug</w:t>
      </w:r>
      <w:r>
        <w:t xml:space="preserve"> </w:t>
      </w:r>
      <w:r>
        <w:t xml:space="preserve">control, secure-world (TrustZone) debug.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workflow proved:</w:t>
      </w:r>
      <w:r>
        <w:t xml:space="preserve"> </w:t>
      </w:r>
      <w:r>
        <w:t xml:space="preserve">the toolset can identify the device,</w:t>
      </w:r>
      <w:r>
        <w:t xml:space="preserve"> </w:t>
      </w:r>
      <w:r>
        <w:t xml:space="preserve">decode the security registers correctly, and release a core into a</w:t>
      </w:r>
      <w:r>
        <w:t xml:space="preserve"> </w:t>
      </w:r>
      <w:r>
        <w:t xml:space="preserve">controlled EL3-halt state — all without any vendor toolchain.</w:t>
      </w:r>
    </w:p>
    <w:p>
      <w:pPr>
        <w:pStyle w:val="FirstParagraph"/>
      </w:pPr>
      <w:r>
        <w:t xml:space="preserve">The next step would be to compare this against a production-hardened</w:t>
      </w:r>
      <w:r>
        <w:t xml:space="preserve"> </w:t>
      </w:r>
      <w:r>
        <w:t xml:space="preserve">device to see which of these capabilities survive. That comparison is</w:t>
      </w:r>
      <w:r>
        <w:t xml:space="preserve"> </w:t>
      </w:r>
      <w:r>
        <w:t xml:space="preserve">the empirical heart of the research direction this series enables.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hyperlink" Id="rId27" Target="../guides/operator-quick-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guides/operator-quick-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2026-06-08T14:57:24Z</dcterms:created>
  <dcterms:modified xsi:type="dcterms:W3CDTF">2026-06-08T14:57:24Z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