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479cb6ee3b1ff514e68c94e5bc0380386ce69d8"/>
    <w:p>
      <w:pPr>
        <w:pStyle w:val="Heading1"/>
      </w:pPr>
      <w:r>
        <w:t xml:space="preserve">JTAG Enumeration for Security Research on the Zynq UltraScale+ MPSoC</w:t>
      </w:r>
    </w:p>
    <w:bookmarkStart w:id="10" w:name="X5c912969cb8c98a6c8a8d52ab6597934dde2cd3"/>
    <w:p>
      <w:pPr>
        <w:pStyle w:val="Heading2"/>
      </w:pPr>
      <w:r>
        <w:t xml:space="preserve">Volume 3 — What Enumeration Reveals (and How to Use It)</w:t>
      </w:r>
    </w:p>
    <w:p>
      <w:pPr>
        <w:pStyle w:val="FirstParagraph"/>
      </w:pPr>
      <w:r>
        <w:t xml:space="preserve">Enumeration over JTAG is a</w:t>
      </w:r>
      <w:r>
        <w:t xml:space="preserve"> </w:t>
      </w:r>
      <w:r>
        <w:rPr>
          <w:b/>
          <w:bCs/>
        </w:rPr>
        <w:t xml:space="preserve">security-configuration assessment</w:t>
      </w:r>
      <w:r>
        <w:t xml:space="preserve">: read the</w:t>
      </w:r>
      <w:r>
        <w:t xml:space="preserve"> </w:t>
      </w:r>
      <w:r>
        <w:t xml:space="preserve">registers where ZynqMP’s security controls live, and their values tell you which</w:t>
      </w:r>
      <w:r>
        <w:t xml:space="preserve"> </w:t>
      </w:r>
      <w:r>
        <w:t xml:space="preserve">controls are on. This volume is the field guide. Each indicator category lists the</w:t>
      </w:r>
      <w:r>
        <w:t xml:space="preserve"> </w:t>
      </w:r>
      <w:r>
        <w:t xml:space="preserve">exact attributes and</w:t>
      </w:r>
      <w:r>
        <w:t xml:space="preserve"> </w:t>
      </w:r>
      <w:r>
        <w:rPr>
          <w:b/>
          <w:bCs/>
        </w:rPr>
        <w:t xml:space="preserve">where to find them in a register dump</w:t>
      </w:r>
      <w:r>
        <w:t xml:space="preserve"> </w:t>
      </w:r>
      <w:r>
        <w:t xml:space="preserve">(block · address ·</w:t>
      </w:r>
      <w:r>
        <w:t xml:space="preserve"> </w:t>
      </w:r>
      <w:r>
        <w:t xml:space="preserve">bits), how the dev-board baseline compares to a hardened part, and what the</w:t>
      </w:r>
      <w:r>
        <w:t xml:space="preserve"> </w:t>
      </w:r>
      <w:r>
        <w:t xml:space="preserve">observed state enables.</w:t>
      </w:r>
    </w:p>
    <w:p>
      <w:pPr>
        <w:pStyle w:val="BodyText"/>
      </w:pPr>
      <w:r>
        <w:t xml:space="preserve">The reference target is the ZCU102 (XCZU9EG, S/N 210308BD8D4D): factory silicon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 security provisioned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all-open baseline</w:t>
      </w:r>
      <w:r>
        <w:t xml:space="preserve">, where every control</w:t>
      </w:r>
      <w:r>
        <w:t xml:space="preserve"> </w:t>
      </w:r>
      <w:r>
        <w:t xml:space="preserve">reads OFF/unprovisioned. The payoff is comparison: point the same enumeration at</w:t>
      </w:r>
      <w:r>
        <w:t xml:space="preserve"> </w:t>
      </w:r>
      <w:r>
        <w:t xml:space="preserve">another (hardened) board and the deviations from this baseline are the story. The</w:t>
      </w:r>
      <w:r>
        <w:t xml:space="preserve"> </w:t>
      </w:r>
      <w:r>
        <w:t xml:space="preserve">exhaustive flat catalog of every attribute is</w:t>
      </w:r>
      <w:r>
        <w:t xml:space="preserve"> </w:t>
      </w:r>
      <w:hyperlink r:id="rId9">
        <w:r>
          <w:rPr>
            <w:rStyle w:val="VerbatimChar"/>
          </w:rPr>
          <w:t xml:space="preserve">../11-security-attributes.md</w:t>
        </w:r>
      </w:hyperlink>
      <w:r>
        <w:t xml:space="preserve">; this volume is the</w:t>
      </w:r>
      <w:r>
        <w:t xml:space="preserve"> </w:t>
      </w:r>
      <w:r>
        <w:t xml:space="preserve">interpretive companion to it.</w:t>
      </w:r>
    </w:p>
    <w:p>
      <w:r>
        <w:pict>
          <v:rect style="width:0;height:1.5pt" o:hralign="center" o:hrstd="t" o:hr="t"/>
        </w:pict>
      </w:r>
    </w:p>
    <w:bookmarkEnd w:id="10"/>
    <w:bookmarkStart w:id="11" w:name="how-to-read-this-volume"/>
    <w:p>
      <w:pPr>
        <w:pStyle w:val="Heading2"/>
      </w:pPr>
      <w:r>
        <w:t xml:space="preserve">1. How to read this volume</w:t>
      </w:r>
    </w:p>
    <w:p>
      <w:pPr>
        <w:pStyle w:val="FirstParagraph"/>
      </w:pPr>
      <w:r>
        <w:t xml:space="preserve">Every category has the same two parts: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Attributes &amp; locations</w:t>
      </w:r>
      <w:r>
        <w:t xml:space="preserve"> </w:t>
      </w:r>
      <w:r>
        <w:t xml:space="preserve">— a table of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each attribute is,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it</w:t>
      </w:r>
      <w:r>
        <w:t xml:space="preserve"> </w:t>
      </w:r>
      <w:r>
        <w:t xml:space="preserve">lives (</w:t>
      </w:r>
      <w:r>
        <w:rPr>
          <w:rStyle w:val="VerbatimChar"/>
        </w:rPr>
        <w:t xml:space="preserve">BLOCK.REGISTER · 0xADDRESS · bits</w:t>
      </w:r>
      <w:r>
        <w:t xml:space="preserve">), its value on this dev board, and</w:t>
      </w:r>
      <w:r>
        <w:t xml:space="preserve"> </w:t>
      </w:r>
      <w:r>
        <w:t xml:space="preserve">what a hardened part shows instead. The address+bits column is what lets you</w:t>
      </w:r>
      <w:r>
        <w:t xml:space="preserve"> </w:t>
      </w:r>
      <w:r>
        <w:t xml:space="preserve">locate the attribute in a raw register dump.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it enables</w:t>
      </w:r>
      <w:r>
        <w:t xml:space="preserve"> </w:t>
      </w:r>
      <w:r>
        <w:t xml:space="preserve">— the concrete techniques the observed state allows, with</w:t>
      </w:r>
      <w:r>
        <w:t xml:space="preserve"> </w:t>
      </w:r>
      <w:r>
        <w:t xml:space="preserve">prerequisites and limits.</w:t>
      </w:r>
    </w:p>
    <w:p>
      <w:pPr>
        <w:pStyle w:val="FirstParagraph"/>
      </w:pPr>
      <w:r>
        <w:t xml:space="preserve">Read every value against the</w:t>
      </w:r>
      <w:r>
        <w:t xml:space="preserve"> </w:t>
      </w:r>
      <w:r>
        <w:rPr>
          <w:b/>
          <w:bCs/>
        </w:rPr>
        <w:t xml:space="preserve">hardening continuum</w:t>
      </w:r>
      <w:r>
        <w:t xml:space="preserve"> </w:t>
      </w:r>
      <w:r>
        <w:t xml:space="preserve">— a reading that’s</w:t>
      </w:r>
      <w:r>
        <w:t xml:space="preserve"> </w:t>
      </w:r>
      <w:r>
        <w:t xml:space="preserve">unremarkable on a dev kit is significant on a production device, and vice-versa:</w:t>
      </w:r>
    </w:p>
    <w:p>
      <w:pPr>
        <w:pStyle w:val="SourceCode"/>
      </w:pPr>
      <w:r>
        <w:rPr>
          <w:rStyle w:val="VerbatimChar"/>
        </w:rPr>
        <w:t xml:space="preserve">Factory ──► Dev kit ──► Partial hardening ──► Production hardened</w:t>
      </w:r>
      <w:r>
        <w:br/>
      </w:r>
      <w:r>
        <w:rPr>
          <w:rStyle w:val="VerbatimChar"/>
        </w:rPr>
        <w:t xml:space="preserve">unblown      blown but   blown + partial       all gates closed,</w:t>
      </w:r>
      <w:r>
        <w:br/>
      </w:r>
      <w:r>
        <w:rPr>
          <w:rStyle w:val="VerbatimChar"/>
        </w:rPr>
        <w:t xml:space="preserve">fuses        mutable     locking               keys baked, JTAG off</w:t>
      </w:r>
    </w:p>
    <w:p>
      <w:pPr>
        <w:pStyle w:val="FirstParagraph"/>
      </w:pPr>
      <w:r>
        <w:rPr>
          <w:b/>
          <w:bCs/>
        </w:rPr>
        <w:t xml:space="preserve">Scope.</w:t>
      </w:r>
      <w:r>
        <w:t xml:space="preserve"> </w:t>
      </w:r>
      <w:r>
        <w:t xml:space="preserve">This assumes the debug threat model — JTAG/DAP is reachable. On hardened</w:t>
      </w:r>
      <w:r>
        <w:t xml:space="preserve"> </w:t>
      </w:r>
      <w:r>
        <w:t xml:space="preserve">silicon that access is itself closed (</w:t>
      </w:r>
      <w:r>
        <w:rPr>
          <w:rStyle w:val="VerbatimChar"/>
        </w:rPr>
        <w:t xml:space="preserve">JTAG_DIS</w:t>
      </w:r>
      <w:r>
        <w:t xml:space="preserve"> </w:t>
      </w:r>
      <w:r>
        <w:t xml:space="preserve">or debug authentication), so</w:t>
      </w:r>
      <w:r>
        <w:t xml:space="preserve"> </w:t>
      </w:r>
      <w:r>
        <w:t xml:space="preserve">“JTAG</w:t>
      </w:r>
      <w:r>
        <w:t xml:space="preserve"> </w:t>
      </w:r>
      <w:r>
        <w:t xml:space="preserve">can read X”</w:t>
      </w:r>
      <w:r>
        <w:t xml:space="preserve"> </w:t>
      </w:r>
      <w:r>
        <w:t xml:space="preserve">only applies where JTAG is open by design or by misconfiguration. No</w:t>
      </w:r>
      <w:r>
        <w:t xml:space="preserve"> </w:t>
      </w:r>
      <w:r>
        <w:t xml:space="preserve">fault injection, side-channel, or supply-chain pre-positioning.</w:t>
      </w:r>
    </w:p>
    <w:p>
      <w:pPr>
        <w:pStyle w:val="BodyText"/>
      </w:pPr>
      <w:r>
        <w:t xml:space="preserve">The fastest read on a new board is the</w:t>
      </w:r>
      <w:r>
        <w:t xml:space="preserve"> </w:t>
      </w:r>
      <w:r>
        <w:rPr>
          <w:b/>
          <w:bCs/>
        </w:rPr>
        <w:t xml:space="preserve">Security Posture Summary</w:t>
      </w:r>
      <w:r>
        <w:t xml:space="preserve"> </w:t>
      </w:r>
      <w:r>
        <w:t xml:space="preserve">(§10) — a</w:t>
      </w:r>
      <w:r>
        <w:t xml:space="preserve"> </w:t>
      </w:r>
      <w:r>
        <w:t xml:space="preserve">one-row-per-control checklist that flips OFF/dev → ON/provisioned.</w:t>
      </w:r>
    </w:p>
    <w:p>
      <w:r>
        <w:pict>
          <v:rect style="width:0;height:1.5pt" o:hralign="center" o:hrstd="t" o:hr="t"/>
        </w:pict>
      </w:r>
    </w:p>
    <w:bookmarkEnd w:id="11"/>
    <w:bookmarkStart w:id="12" w:name="silicon-identity"/>
    <w:p>
      <w:pPr>
        <w:pStyle w:val="Heading2"/>
      </w:pPr>
      <w:r>
        <w:t xml:space="preserve">2. Silicon identity</w:t>
      </w:r>
    </w:p>
    <w:p>
      <w:pPr>
        <w:pStyle w:val="FirstParagraph"/>
      </w:pPr>
      <w:r>
        <w:rPr>
          <w:b/>
          <w:bCs/>
        </w:rPr>
        <w:t xml:space="preserve">Attributes &amp;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Where (block · address · bits)</w:t>
            </w:r>
          </w:p>
        </w:tc>
        <w:tc>
          <w:tcPr/>
          <w:p>
            <w:pPr>
              <w:pStyle w:val="Compact"/>
            </w:pPr>
            <w:r>
              <w:t xml:space="preserve">This board</w:t>
            </w:r>
          </w:p>
        </w:tc>
        <w:tc>
          <w:tcPr/>
          <w:p>
            <w:pPr>
              <w:pStyle w:val="Compact"/>
            </w:pPr>
            <w:r>
              <w:t xml:space="preserve">Hardened part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part / family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CSU.IDCODE · 0xFFCA0040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0x24738093</w:t>
            </w:r>
            <w:r>
              <w:t xml:space="preserve"> </w:t>
            </w:r>
            <w:r>
              <w:t xml:space="preserve">(XCZU9EG)</w:t>
            </w:r>
          </w:p>
        </w:tc>
        <w:tc>
          <w:tcPr/>
          <w:p>
            <w:pPr>
              <w:pStyle w:val="Compact"/>
            </w:pPr>
            <w:r>
              <w:t xml:space="preserve">identifies die + 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Silicon revision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CSU.VERSION · 0xFFCA0044</w:t>
            </w:r>
            <w:r>
              <w:t xml:space="preserve"> </w:t>
            </w:r>
            <w:r>
              <w:t xml:space="preserve">(PS_VERSION)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  <w:r>
              <w:t xml:space="preserve"> </w:t>
            </w:r>
            <w:r>
              <w:t xml:space="preserve">(production)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/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= ES1/ES2 sample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Per-chip unique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EFUSE.DNA_0..2 · 0xFFCC100C–1014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0x40000000_0170CFA7_44804345</w:t>
            </w:r>
          </w:p>
        </w:tc>
        <w:tc>
          <w:tcPr/>
          <w:p>
            <w:pPr>
              <w:pStyle w:val="Compact"/>
            </w:pPr>
            <w:r>
              <w:t xml:space="preserve">may be read-gated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enables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Pre-engagement recon.</w:t>
      </w:r>
      <w:r>
        <w:t xml:space="preserve"> </w:t>
      </w:r>
      <w:r>
        <w:t xml:space="preserve">Exact die + revision tells you which errata apply, which</w:t>
      </w:r>
      <w:r>
        <w:t xml:space="preserve"> </w:t>
      </w:r>
      <w:r>
        <w:t xml:space="preserve">boot-image format the BootROM expects, and what prior exploit work exists.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Engineering-sample detection.</w:t>
      </w:r>
      <w:r>
        <w:t xml:space="preserve"> </w:t>
      </w:r>
      <w:r>
        <w:t xml:space="preserve">An ES revision in a shipped product is worth</w:t>
      </w:r>
      <w:r>
        <w:t xml:space="preserve"> </w:t>
      </w:r>
      <w:r>
        <w:t xml:space="preserve">escalating — ES silicon often carries security errata fixed in production steppings.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Fleet fingerprinting.</w:t>
      </w:r>
      <w:r>
        <w:t xml:space="preserve"> </w:t>
      </w:r>
      <w:r>
        <w:t xml:space="preserve">DNA is unique per chip and readable from the eFuse shadow;</w:t>
      </w:r>
      <w:r>
        <w:t xml:space="preserve"> </w:t>
      </w:r>
      <w:r>
        <w:t xml:space="preserve">across a fleet it builds a DNA→identity table. DNA readable on a part that should</w:t>
      </w:r>
      <w:r>
        <w:t xml:space="preserve"> </w:t>
      </w:r>
      <w:r>
        <w:t xml:space="preserve">lock it is itself a finding.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Variant inference.</w:t>
      </w:r>
      <w:r>
        <w:t xml:space="preserve"> </w:t>
      </w:r>
      <w:r>
        <w:t xml:space="preserve">If the variant table claims a subsystem (e.g. VCU) but its</w:t>
      </w:r>
      <w:r>
        <w:t xml:space="preserve"> </w:t>
      </w:r>
      <w:r>
        <w:t xml:space="preserve">base address times out — or vice-versa — the package bond differs from the catalog.</w:t>
      </w:r>
    </w:p>
    <w:p>
      <w:r>
        <w:pict>
          <v:rect style="width:0;height:1.5pt" o:hralign="center" o:hrstd="t" o:hr="t"/>
        </w:pict>
      </w:r>
    </w:p>
    <w:bookmarkEnd w:id="12"/>
    <w:bookmarkStart w:id="13" w:name="Xd9b19ddc6eec893de19fa89d7f1eecfa8d21328"/>
    <w:p>
      <w:pPr>
        <w:pStyle w:val="Heading2"/>
      </w:pPr>
      <w:r>
        <w:t xml:space="preserve">3. Secure-debug exposure (the most consequential indicator)</w:t>
      </w:r>
    </w:p>
    <w:p>
      <w:pPr>
        <w:pStyle w:val="FirstParagraph"/>
      </w:pPr>
      <w:r>
        <w:rPr>
          <w:b/>
          <w:bCs/>
        </w:rPr>
        <w:t xml:space="preserve">Attributes &amp;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Where (block · address · bits)</w:t>
            </w:r>
          </w:p>
        </w:tc>
        <w:tc>
          <w:tcPr/>
          <w:p>
            <w:pPr>
              <w:pStyle w:val="Compact"/>
            </w:pPr>
            <w:r>
              <w:t xml:space="preserve">This board</w:t>
            </w:r>
          </w:p>
        </w:tc>
        <w:tc>
          <w:tcPr/>
          <w:p>
            <w:pPr>
              <w:pStyle w:val="Compact"/>
            </w:pPr>
            <w:r>
              <w:t xml:space="preserve">Hardened part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APU secure invasive debug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CSU.JTAG_DAP_CFG · 0xFFCA003C · bit 2</w:t>
            </w:r>
            <w:r>
              <w:t xml:space="preserve"> </w:t>
            </w:r>
            <w:r>
              <w:t xml:space="preserve">(SPIDEN)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(open)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APU secure trace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0xFFCA003C · bit 3</w:t>
            </w:r>
            <w:r>
              <w:t xml:space="preserve"> </w:t>
            </w:r>
            <w:r>
              <w:t xml:space="preserve">(SPNIDEN)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(open)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APU non-secure debug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0xFFCA003C · bit 0</w:t>
            </w:r>
            <w:r>
              <w:t xml:space="preserve"> </w:t>
            </w:r>
            <w:r>
              <w:t xml:space="preserve">(DBGEN)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APU non-secure trace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0xFFCA003C · bit 1</w:t>
            </w:r>
            <w:r>
              <w:t xml:space="preserve"> </w:t>
            </w:r>
            <w:r>
              <w:t xml:space="preserve">(NIDEN)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RPU debug / trace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0xFFCA003C · bits 4,5</w:t>
            </w:r>
            <w:r>
              <w:t xml:space="preserve"> </w:t>
            </w:r>
            <w:r>
              <w:t xml:space="preserve">(RPU DBGEN/NIDEN)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DAP JTAG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CSU.JTAG_SEC · 0xFFCA0038 · bits [2:0]</w:t>
            </w:r>
            <w:r>
              <w:t xml:space="preserve"> </w:t>
            </w:r>
            <w:r>
              <w:t xml:space="preserve">(DAP_SEC)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0b111</w:t>
            </w:r>
            <w:r>
              <w:t xml:space="preserve"> </w:t>
            </w:r>
            <w:r>
              <w:t xml:space="preserve">(open)</w:t>
            </w:r>
          </w:p>
        </w:tc>
        <w:tc>
          <w:tcPr/>
          <w:p>
            <w:pPr>
              <w:pStyle w:val="Compact"/>
            </w:pP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0b111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PL-TAP JTAG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0xFFCA0038 · bits [5:3]</w:t>
            </w:r>
            <w:r>
              <w:t xml:space="preserve"> </w:t>
            </w:r>
            <w:r>
              <w:t xml:space="preserve">(PLTAP_SEC)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0b111</w:t>
            </w:r>
            <w:r>
              <w:t xml:space="preserve"> </w:t>
            </w:r>
            <w:r>
              <w:t xml:space="preserve">(open)</w:t>
            </w:r>
          </w:p>
        </w:tc>
        <w:tc>
          <w:tcPr/>
          <w:p>
            <w:pPr>
              <w:pStyle w:val="Compact"/>
            </w:pP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0b111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PMU JTAG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0xFFCA0038 · bits [8:6]</w:t>
            </w:r>
            <w:r>
              <w:t xml:space="preserve"> </w:t>
            </w:r>
            <w:r>
              <w:t xml:space="preserve">(PMU_SEC)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0b000</w:t>
            </w:r>
            <w:r>
              <w:t xml:space="preserve"> </w:t>
            </w:r>
            <w:r>
              <w:t xml:space="preserve">(gated)</w:t>
            </w:r>
          </w:p>
        </w:tc>
        <w:tc>
          <w:tcPr/>
          <w:p>
            <w:pPr>
              <w:pStyle w:val="Compact"/>
            </w:pPr>
            <w:r>
              <w:t xml:space="preserve">gated</w:t>
            </w:r>
          </w:p>
        </w:tc>
      </w:tr>
    </w:tbl>
    <w:p>
      <w:pPr>
        <w:pStyle w:val="BodyText"/>
      </w:pPr>
      <w:r>
        <w:t xml:space="preserve">The whole</w:t>
      </w:r>
      <w:r>
        <w:t xml:space="preserve"> </w:t>
      </w:r>
      <w:r>
        <w:rPr>
          <w:rStyle w:val="VerbatimChar"/>
        </w:rPr>
        <w:t xml:space="preserve">JTAG_DAP_CFG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0xFF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JTAG_SEC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0x3F</w:t>
      </w:r>
      <w:r>
        <w:t xml:space="preserve"> </w:t>
      </w:r>
      <w:r>
        <w:t xml:space="preserve">on this board —</w:t>
      </w:r>
      <w:r>
        <w:t xml:space="preserve"> </w:t>
      </w:r>
      <w:r>
        <w:t xml:space="preserve">maximum debug exposure. Each</w:t>
      </w:r>
      <w:r>
        <w:t xml:space="preserve"> </w:t>
      </w:r>
      <w:r>
        <w:rPr>
          <w:rStyle w:val="VerbatimChar"/>
        </w:rPr>
        <w:t xml:space="preserve">JTAG_SEC</w:t>
      </w:r>
      <w:r>
        <w:t xml:space="preserve"> </w:t>
      </w:r>
      <w:r>
        <w:t xml:space="preserve">field needs the magic</w:t>
      </w:r>
      <w:r>
        <w:t xml:space="preserve"> </w:t>
      </w:r>
      <w:r>
        <w:rPr>
          <w:rStyle w:val="VerbatimChar"/>
        </w:rPr>
        <w:t xml:space="preserve">0b111</w:t>
      </w:r>
      <w:r>
        <w:t xml:space="preserve"> </w:t>
      </w:r>
      <w:r>
        <w:t xml:space="preserve">to unlock</w:t>
      </w:r>
      <w:r>
        <w:t xml:space="preserve"> </w:t>
      </w:r>
      <w:r>
        <w:t xml:space="preserve">(anti-glitch: a single-bit flip can’t open it).</w:t>
      </w:r>
    </w:p>
    <w:p>
      <w:pPr>
        <w:pStyle w:val="BodyText"/>
      </w:pPr>
      <w:r>
        <w:rPr>
          <w:b/>
          <w:bCs/>
        </w:rPr>
        <w:t xml:space="preserve">What it enables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TrustZone inspection (SPIDEN=1).</w:t>
      </w:r>
      <w:r>
        <w:t xml:space="preserve"> </w:t>
      </w:r>
      <w:r>
        <w:t xml:space="preserve">Halt the A53 in EL3 and read everything the</w:t>
      </w:r>
      <w:r>
        <w:t xml:space="preserve"> </w:t>
      </w:r>
      <w:r>
        <w:t xml:space="preserve">secure world holds — keys in OCM/DDR, the EL3 monitor, attestation material.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Secure-world key extraction.</w:t>
      </w:r>
      <w:r>
        <w:t xml:space="preserve"> </w:t>
      </w:r>
      <w:r>
        <w:t xml:space="preserve">Keys the BootROM/ATF stage into secure RAM are</w:t>
      </w:r>
      <w:r>
        <w:t xml:space="preserve"> </w:t>
      </w:r>
      <w:r>
        <w:t xml:space="preserve">directly readable; eFuse-shadow keys too, if not separately gated.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EL3 implant.</w:t>
      </w:r>
      <w:r>
        <w:t xml:space="preserve"> </w:t>
      </w:r>
      <w:r>
        <w:t xml:space="preserve">Write a secure region, redirect the secure vector table into it,</w:t>
      </w:r>
      <w:r>
        <w:t xml:space="preserve"> </w:t>
      </w:r>
      <w:r>
        <w:t xml:space="preserve">resume — the EL3 monitor then runs attacker code on every SMC.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Secure trace (SPNIDEN=1, SPIDEN=0).</w:t>
      </w:r>
      <w:r>
        <w:t xml:space="preserve"> </w:t>
      </w:r>
      <w:r>
        <w:t xml:space="preserve">Watch secure execution live without halt</w:t>
      </w:r>
      <w:r>
        <w:t xml:space="preserve"> </w:t>
      </w:r>
      <w:r>
        <w:t xml:space="preserve">control — map the SMC surface, see when/where keys load.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Non-secure debug (DBGEN=1, SPIDEN=0).</w:t>
      </w:r>
      <w:r>
        <w:t xml:space="preserve"> </w:t>
      </w:r>
      <w:r>
        <w:t xml:space="preserve">Halt and patch the kernel/RTOS, disable</w:t>
      </w:r>
      <w:r>
        <w:t xml:space="preserve"> </w:t>
      </w:r>
      <w:r>
        <w:t xml:space="preserve">checks, escalate privilege.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Pre-attack confirmation.</w:t>
      </w:r>
      <w:r>
        <w:t xml:space="preserve"> </w:t>
      </w:r>
      <w:r>
        <w:t xml:space="preserve">SPIDEN=1 makes expensive attack development (fault</w:t>
      </w:r>
      <w:r>
        <w:t xml:space="preserve"> </w:t>
      </w:r>
      <w:r>
        <w:t xml:space="preserve">injection, supply-chain) unnecessary — confirm the easy path first.</w:t>
      </w:r>
    </w:p>
    <w:p>
      <w:r>
        <w:pict>
          <v:rect style="width:0;height:1.5pt" o:hralign="center" o:hrstd="t" o:hr="t"/>
        </w:pict>
      </w:r>
    </w:p>
    <w:bookmarkEnd w:id="13"/>
    <w:bookmarkStart w:id="14" w:name="efuse-secure-boot-policy"/>
    <w:p>
      <w:pPr>
        <w:pStyle w:val="Heading2"/>
      </w:pPr>
      <w:r>
        <w:t xml:space="preserve">4. eFuse secure-boot policy</w:t>
      </w:r>
    </w:p>
    <w:p>
      <w:pPr>
        <w:pStyle w:val="FirstParagraph"/>
      </w:pPr>
      <w:r>
        <w:rPr>
          <w:b/>
          <w:bCs/>
        </w:rPr>
        <w:t xml:space="preserve">Attributes &amp;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Where (block · address · bits)</w:t>
            </w:r>
          </w:p>
        </w:tc>
        <w:tc>
          <w:tcPr/>
          <w:p>
            <w:pPr>
              <w:pStyle w:val="Compact"/>
            </w:pPr>
            <w:r>
              <w:t xml:space="preserve">This board</w:t>
            </w:r>
          </w:p>
        </w:tc>
        <w:tc>
          <w:tcPr/>
          <w:p>
            <w:pPr>
              <w:pStyle w:val="Compact"/>
            </w:pPr>
            <w:r>
              <w:t xml:space="preserve">Hardened part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RSA boot authentication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EFUSE.SEC_CTRL · 0xFFCC1058 · bits [25:11]</w:t>
            </w:r>
            <w:r>
              <w:t xml:space="preserve"> </w:t>
            </w:r>
            <w:r>
              <w:t xml:space="preserve">(RSA_EN)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(off)</w:t>
            </w:r>
          </w:p>
        </w:tc>
        <w:tc>
          <w:tcPr/>
          <w:p>
            <w:pPr>
              <w:pStyle w:val="Compact"/>
            </w:pPr>
            <w:r>
              <w:t xml:space="preserve">15-bit magic = 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Encrypt-only boot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0xFFCC1058 · bit 2</w:t>
            </w:r>
            <w:r>
              <w:t xml:space="preserve"> </w:t>
            </w:r>
            <w:r>
              <w:t xml:space="preserve">(ENC_ONLY)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JTAG disable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0xFFCC1058 · bit 5</w:t>
            </w:r>
            <w:r>
              <w:t xml:space="preserve"> </w:t>
            </w:r>
            <w:r>
              <w:t xml:space="preserve">(JTAG_DIS)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lockdown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0xFFCC1058 · bit 10</w:t>
            </w:r>
            <w:r>
              <w:t xml:space="preserve"> </w:t>
            </w:r>
            <w:r>
              <w:t xml:space="preserve">(SEC_LOCK)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PPK0 public-key 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EFUSE.PPK0_0..11 · 0xFFCC10A0–10CC</w:t>
            </w:r>
          </w:p>
        </w:tc>
        <w:tc>
          <w:tcPr/>
          <w:p>
            <w:pPr>
              <w:pStyle w:val="Compact"/>
            </w:pPr>
            <w:r>
              <w:t xml:space="preserve">all-zero</w:t>
            </w:r>
          </w:p>
        </w:tc>
        <w:tc>
          <w:tcPr/>
          <w:p>
            <w:pPr>
              <w:pStyle w:val="Compact"/>
            </w:pPr>
            <w:r>
              <w:t xml:space="preserve">non-zero (root of trust)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PPK1 public-key 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EFUSE.PPK1_0..11 · 0xFFCC10D0–10FC</w:t>
            </w:r>
          </w:p>
        </w:tc>
        <w:tc>
          <w:tcPr/>
          <w:p>
            <w:pPr>
              <w:pStyle w:val="Compact"/>
            </w:pPr>
            <w:r>
              <w:t xml:space="preserve">all-zero</w:t>
            </w:r>
          </w:p>
        </w:tc>
        <w:tc>
          <w:tcPr/>
          <w:p>
            <w:pPr>
              <w:pStyle w:val="Compact"/>
            </w:pPr>
            <w:r>
              <w:t xml:space="preserve">non-zero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PPK0 / PPK1 revoked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0xFFCC1058 · [28:27] / [31:30]</w:t>
            </w:r>
            <w:r>
              <w:t xml:space="preserve"> </w:t>
            </w:r>
            <w:r>
              <w:t xml:space="preserve">(PPK_INVLD)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2-bit magic = revoked</w:t>
            </w:r>
          </w:p>
        </w:tc>
      </w:tr>
    </w:tbl>
    <w:p>
      <w:pPr>
        <w:pStyle w:val="BodyText"/>
      </w:pPr>
      <w:r>
        <w:t xml:space="preserve">Field widths are anti-glitch defenses (</w:t>
      </w:r>
      <w:r>
        <w:rPr>
          <w:rStyle w:val="VerbatimChar"/>
        </w:rPr>
        <w:t xml:space="preserve">RSA_EN</w:t>
      </w:r>
      <w:r>
        <w:t xml:space="preserve"> </w:t>
      </w:r>
      <w:r>
        <w:t xml:space="preserve">is 15 bits, each</w:t>
      </w:r>
      <w:r>
        <w:t xml:space="preserve"> </w:t>
      </w:r>
      <w:r>
        <w:rPr>
          <w:rStyle w:val="VerbatimChar"/>
        </w:rPr>
        <w:t xml:space="preserve">PPK_INVLD</w:t>
      </w:r>
      <w:r>
        <w:t xml:space="preserve"> </w:t>
      </w:r>
      <w:r>
        <w:t xml:space="preserve">2</w:t>
      </w:r>
      <w:r>
        <w:t xml:space="preserve"> </w:t>
      </w:r>
      <w:r>
        <w:t xml:space="preserve">bits) — a single-bit fault can’t enable a bypass or revoke a key, so a</w:t>
      </w:r>
      <w:r>
        <w:t xml:space="preserve"> </w:t>
      </w:r>
      <w:r>
        <w:rPr>
          <w:i/>
          <w:iCs/>
        </w:rPr>
        <w:t xml:space="preserve">partial</w:t>
      </w:r>
      <w:r>
        <w:t xml:space="preserve"> </w:t>
      </w:r>
      <w:r>
        <w:t xml:space="preserve">magic pattern is a red flag.</w:t>
      </w:r>
    </w:p>
    <w:p>
      <w:pPr>
        <w:pStyle w:val="BodyText"/>
      </w:pPr>
      <w:r>
        <w:rPr>
          <w:b/>
          <w:bCs/>
        </w:rPr>
        <w:t xml:space="preserve">What it enables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Boot-chain enforcement profile.</w:t>
      </w:r>
      <w:r>
        <w:t xml:space="preserve"> </w:t>
      </w:r>
      <w:r>
        <w:rPr>
          <w:rStyle w:val="VerbatimChar"/>
        </w:rPr>
        <w:t xml:space="preserve">SEC_CTRL = 0</w:t>
      </w:r>
      <w:r>
        <w:t xml:space="preserve"> </w:t>
      </w:r>
      <w:r>
        <w:t xml:space="preserve">⇒ unsigned/unencrypted boot</w:t>
      </w:r>
      <w:r>
        <w:t xml:space="preserve"> </w:t>
      </w:r>
      <w:r>
        <w:t xml:space="preserve">accepted (full boot-chain control). RSA magic only ⇒ signature required. RSA +</w:t>
      </w:r>
      <w:r>
        <w:t xml:space="preserve"> </w:t>
      </w:r>
      <w:r>
        <w:t xml:space="preserve">ENC_ONLY ⇒ signed-encrypted only.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Image substitution.</w:t>
      </w:r>
      <w:r>
        <w:t xml:space="preserve"> </w:t>
      </w:r>
      <w:r>
        <w:t xml:space="preserve">On a low/partial-enforcement target, swap in attacker</w:t>
      </w:r>
      <w:r>
        <w:t xml:space="preserve"> </w:t>
      </w:r>
      <w:r>
        <w:t xml:space="preserve">firmware. A partial profile (</w:t>
      </w:r>
      <w:r>
        <w:rPr>
          <w:rStyle w:val="VerbatimChar"/>
        </w:rPr>
        <w:t xml:space="preserve">RSA_EN</w:t>
      </w:r>
      <w:r>
        <w:t xml:space="preserve"> </w:t>
      </w:r>
      <w:r>
        <w:t xml:space="preserve">set,</w:t>
      </w:r>
      <w:r>
        <w:t xml:space="preserve"> </w:t>
      </w:r>
      <w:r>
        <w:rPr>
          <w:rStyle w:val="VerbatimChar"/>
        </w:rPr>
        <w:t xml:space="preserve">SEC_LOCK</w:t>
      </w:r>
      <w:r>
        <w:t xml:space="preserve"> </w:t>
      </w:r>
      <w:r>
        <w:t xml:space="preserve">clear) is still mutable.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AES key-extraction feasibility.</w:t>
      </w:r>
      <w:r>
        <w:t xml:space="preserve"> </w:t>
      </w:r>
      <w:r>
        <w:rPr>
          <w:rStyle w:val="VerbatimChar"/>
        </w:rPr>
        <w:t xml:space="preserve">AES_RDLK = 0</w:t>
      </w:r>
      <w:r>
        <w:t xml:space="preserve"> </w:t>
      </w:r>
      <w:r>
        <w:t xml:space="preserve">means the eFuse AES key is</w:t>
      </w:r>
      <w:r>
        <w:t xml:space="preserve"> </w:t>
      </w:r>
      <w:r>
        <w:t xml:space="preserve">readable — recover it and all</w:t>
      </w:r>
      <w:r>
        <w:t xml:space="preserve"> </w:t>
      </w:r>
      <w:r>
        <w:t xml:space="preserve">“encrypted”</w:t>
      </w:r>
      <w:r>
        <w:t xml:space="preserve"> </w:t>
      </w:r>
      <w:r>
        <w:t xml:space="preserve">images decrypt offline (see §5).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PPK-revocation bypass.</w:t>
      </w:r>
      <w:r>
        <w:t xml:space="preserve"> </w:t>
      </w:r>
      <w:r>
        <w:t xml:space="preserve">A partial</w:t>
      </w:r>
      <w:r>
        <w:t xml:space="preserve"> </w:t>
      </w:r>
      <w:r>
        <w:rPr>
          <w:rStyle w:val="VerbatimChar"/>
        </w:rPr>
        <w:t xml:space="preserve">PPK_INVLD</w:t>
      </w:r>
      <w:r>
        <w:t xml:space="preserve"> </w:t>
      </w:r>
      <w:r>
        <w:t xml:space="preserve">pattern can mean an incomplete key</w:t>
      </w:r>
      <w:r>
        <w:t xml:space="preserve"> </w:t>
      </w:r>
      <w:r>
        <w:t xml:space="preserve">rotation — the BootROM may still trust a key meant to be revoked.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Fleet outlier hunting.</w:t>
      </w:r>
      <w:r>
        <w:t xml:space="preserve"> </w:t>
      </w:r>
      <w:r>
        <w:t xml:space="preserve">Inventory</w:t>
      </w:r>
      <w:r>
        <w:t xml:space="preserve"> </w:t>
      </w:r>
      <w:r>
        <w:rPr>
          <w:rStyle w:val="VerbatimChar"/>
        </w:rPr>
        <w:t xml:space="preserve">SEC_CTRL</w:t>
      </w:r>
      <w:r>
        <w:t xml:space="preserve"> </w:t>
      </w:r>
      <w:r>
        <w:t xml:space="preserve">across a product line; the</w:t>
      </w:r>
      <w:r>
        <w:t xml:space="preserve"> </w:t>
      </w:r>
      <w:r>
        <w:t xml:space="preserve">less-hardened units are the higher-value targets.</w:t>
      </w:r>
    </w:p>
    <w:p>
      <w:r>
        <w:pict>
          <v:rect style="width:0;height:1.5pt" o:hralign="center" o:hrstd="t" o:hr="t"/>
        </w:pict>
      </w:r>
    </w:p>
    <w:bookmarkEnd w:id="14"/>
    <w:bookmarkStart w:id="15" w:name="key-material-and-confidentiality"/>
    <w:p>
      <w:pPr>
        <w:pStyle w:val="Heading2"/>
      </w:pPr>
      <w:r>
        <w:t xml:space="preserve">5. Key material and confidentiality</w:t>
      </w:r>
    </w:p>
    <w:p>
      <w:pPr>
        <w:pStyle w:val="FirstParagraph"/>
      </w:pPr>
      <w:r>
        <w:rPr>
          <w:b/>
          <w:bCs/>
        </w:rPr>
        <w:t xml:space="preserve">Attributes &amp;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Where (block · address · bits)</w:t>
            </w:r>
          </w:p>
        </w:tc>
        <w:tc>
          <w:tcPr/>
          <w:p>
            <w:pPr>
              <w:pStyle w:val="Compact"/>
            </w:pPr>
            <w:r>
              <w:t xml:space="preserve">This board</w:t>
            </w:r>
          </w:p>
        </w:tc>
        <w:tc>
          <w:tcPr/>
          <w:p>
            <w:pPr>
              <w:pStyle w:val="Compact"/>
            </w:pPr>
            <w:r>
              <w:t xml:space="preserve">Hardened part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AES key-slot population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CSU.AES_STATUS · 0xFFCA1000 · bits 8–11</w:t>
            </w:r>
            <w:r>
              <w:t xml:space="preserve"> </w:t>
            </w:r>
            <w:r>
              <w:t xml:space="preserve">(per-slot *_ZERO)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0xF00</w:t>
            </w:r>
            <w:r>
              <w:t xml:space="preserve"> </w:t>
            </w:r>
            <w:r>
              <w:t xml:space="preserve">(all slots empty)</w:t>
            </w:r>
          </w:p>
        </w:tc>
        <w:tc>
          <w:tcPr/>
          <w:p>
            <w:pPr>
              <w:pStyle w:val="Compact"/>
            </w:pPr>
            <w:r>
              <w:t xml:space="preserve">a slot’s bit clear = key loaded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eFuse AES key 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EFUSE.EFUSE_AES_CRC · 0xFFCC0048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(absent)</w:t>
            </w:r>
          </w:p>
        </w:tc>
        <w:tc>
          <w:tcPr/>
          <w:p>
            <w:pPr>
              <w:pStyle w:val="Compact"/>
            </w:pPr>
            <w:r>
              <w:t xml:space="preserve">non-zero (key burned)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AES key read-lock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EFUSE.SEC_CTRL · 0xFFCC1058 · bit 0</w:t>
            </w:r>
            <w:r>
              <w:t xml:space="preserve"> </w:t>
            </w:r>
            <w:r>
              <w:t xml:space="preserve">(AES_RDLK)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(readable)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AES key write-lock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0xFFCC1058 · bit 1</w:t>
            </w:r>
            <w:r>
              <w:t xml:space="preserve"> </w:t>
            </w:r>
            <w:r>
              <w:t xml:space="preserve">(AES_WRLK)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PUF provisioned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EFUSE.PUF_CHASH · 0xFFCC1050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(unprovisioned)</w:t>
            </w:r>
          </w:p>
        </w:tc>
        <w:tc>
          <w:tcPr/>
          <w:p>
            <w:pPr>
              <w:pStyle w:val="Compact"/>
            </w:pPr>
            <w:r>
              <w:t xml:space="preserve">non-zero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enables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Key-model determination.</w:t>
      </w:r>
      <w:r>
        <w:t xml:space="preserve"> </w:t>
      </w:r>
      <w:r>
        <w:t xml:space="preserve">The combination says whether the device decrypts boot</w:t>
      </w:r>
      <w:r>
        <w:t xml:space="preserve"> </w:t>
      </w:r>
      <w:r>
        <w:t xml:space="preserve">with an eFuse AES key, a BBRAM key, or a PUF-derived key — which decides the</w:t>
      </w:r>
      <w:r>
        <w:t xml:space="preserve"> </w:t>
      </w:r>
      <w:r>
        <w:t xml:space="preserve">extraction approach.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Direct key disclosure.</w:t>
      </w:r>
      <w:r>
        <w:t xml:space="preserve"> </w:t>
      </w:r>
      <w:r>
        <w:t xml:space="preserve">“Key present (</w:t>
      </w:r>
      <w:r>
        <w:rPr>
          <w:rStyle w:val="VerbatimChar"/>
        </w:rPr>
        <w:t xml:space="preserve">AES_CRC</w:t>
      </w:r>
      <w:r>
        <w:t xml:space="preserve"> </w:t>
      </w:r>
      <w:r>
        <w:t xml:space="preserve">≠ 0) +</w:t>
      </w:r>
      <w:r>
        <w:t xml:space="preserve"> </w:t>
      </w:r>
      <w:r>
        <w:rPr>
          <w:rStyle w:val="VerbatimChar"/>
        </w:rPr>
        <w:t xml:space="preserve">AES_RDLK = 0</w:t>
      </w:r>
      <w:r>
        <w:t xml:space="preserve">”</w:t>
      </w:r>
      <w:r>
        <w:t xml:space="preserve"> </w:t>
      </w:r>
      <w:r>
        <w:t xml:space="preserve">is the</w:t>
      </w:r>
      <w:r>
        <w:t xml:space="preserve"> </w:t>
      </w:r>
      <w:r>
        <w:t xml:space="preserve">flag: the boot-decryption key is unprotected from a debug read. Recover it →</w:t>
      </w:r>
      <w:r>
        <w:t xml:space="preserve"> </w:t>
      </w:r>
      <w:r>
        <w:t xml:space="preserve">decrypt every encrypted image for that device, or forge new ones.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PUF parts.</w:t>
      </w:r>
      <w:r>
        <w:t xml:space="preserve"> </w:t>
      </w:r>
      <w:r>
        <w:t xml:space="preserve">A PUF-provisioned part derives the key at boot rather than storing</w:t>
      </w:r>
      <w:r>
        <w:t xml:space="preserve"> </w:t>
      </w:r>
      <w:r>
        <w:t xml:space="preserve">it; extraction shifts to helper-data handling, but the enumeration still tells you</w:t>
      </w:r>
      <w:r>
        <w:t xml:space="preserve"> </w:t>
      </w:r>
      <w:r>
        <w:t xml:space="preserve">which class of attack applies.</w:t>
      </w:r>
    </w:p>
    <w:p>
      <w:r>
        <w:pict>
          <v:rect style="width:0;height:1.5pt" o:hralign="center" o:hrstd="t" o:hr="t"/>
        </w:pict>
      </w:r>
    </w:p>
    <w:bookmarkEnd w:id="15"/>
    <w:bookmarkStart w:id="16" w:name="anti-tamper"/>
    <w:p>
      <w:pPr>
        <w:pStyle w:val="Heading2"/>
      </w:pPr>
      <w:r>
        <w:t xml:space="preserve">6. Anti-tamper</w:t>
      </w:r>
    </w:p>
    <w:p>
      <w:pPr>
        <w:pStyle w:val="FirstParagraph"/>
      </w:pPr>
      <w:r>
        <w:rPr>
          <w:b/>
          <w:bCs/>
        </w:rPr>
        <w:t xml:space="preserve">Attributes &amp;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Where (block · address · bits)</w:t>
            </w:r>
          </w:p>
        </w:tc>
        <w:tc>
          <w:tcPr/>
          <w:p>
            <w:pPr>
              <w:pStyle w:val="Compact"/>
            </w:pPr>
            <w:r>
              <w:t xml:space="preserve">This board</w:t>
            </w:r>
          </w:p>
        </w:tc>
        <w:tc>
          <w:tcPr/>
          <w:p>
            <w:pPr>
              <w:pStyle w:val="Compact"/>
            </w:pPr>
            <w:r>
              <w:t xml:space="preserve">Hardened part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Tamper response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CSU.CSU_TAMPER_0..12 · 0xFFCA5004–5034</w:t>
            </w:r>
          </w:p>
        </w:tc>
        <w:tc>
          <w:tcPr/>
          <w:p>
            <w:pPr>
              <w:pStyle w:val="Compact"/>
            </w:pPr>
            <w:r>
              <w:t xml:space="preserve">all-zero (disarmed)</w:t>
            </w:r>
          </w:p>
        </w:tc>
        <w:tc>
          <w:tcPr/>
          <w:p>
            <w:pPr>
              <w:pStyle w:val="Compact"/>
            </w:pPr>
            <w:r>
              <w:t xml:space="preserve">non-zero per armed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Tamper events latched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CSU.TAMPER_STATUS · 0xFFCA5000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non-zero = a source fired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tamper trigger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CSU.CSU_TAMPER_TRIG · 0xFFCA0014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Each</w:t>
      </w:r>
      <w:r>
        <w:t xml:space="preserve"> </w:t>
      </w:r>
      <w:r>
        <w:rPr>
          <w:rStyle w:val="VerbatimChar"/>
        </w:rPr>
        <w:t xml:space="preserve">CSU_TAMPER_n</w:t>
      </w:r>
      <w:r>
        <w:t xml:space="preserve"> </w:t>
      </w:r>
      <w:r>
        <w:t xml:space="preserve">register wires one tamper source to a response (system reset /</w:t>
      </w:r>
      <w:r>
        <w:t xml:space="preserve"> </w:t>
      </w:r>
      <w:r>
        <w:t xml:space="preserve">secure lockdown / BBRAM + key zeroize).</w:t>
      </w:r>
    </w:p>
    <w:p>
      <w:pPr>
        <w:pStyle w:val="BodyText"/>
      </w:pPr>
      <w:r>
        <w:rPr>
          <w:b/>
          <w:bCs/>
        </w:rPr>
        <w:t xml:space="preserve">What it enables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Tamper-aware operation.</w:t>
      </w:r>
      <w:r>
        <w:t xml:space="preserve"> </w:t>
      </w:r>
      <w:r>
        <w:t xml:space="preserve">The config registers show which physical / voltage /</w:t>
      </w:r>
      <w:r>
        <w:t xml:space="preserve"> </w:t>
      </w:r>
      <w:r>
        <w:t xml:space="preserve">temperature / JTAG-activity events are armed — i.e. what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to trip on a live</w:t>
      </w:r>
      <w:r>
        <w:t xml:space="preserve"> </w:t>
      </w:r>
      <w:r>
        <w:t xml:space="preserve">target, since a response may zeroize keys or lock the device down.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Response-gap hunting.</w:t>
      </w:r>
      <w:r>
        <w:t xml:space="preserve"> </w:t>
      </w:r>
      <w:r>
        <w:t xml:space="preserve">A device that arms some sources but leaves the</w:t>
      </w:r>
      <w:r>
        <w:t xml:space="preserve"> </w:t>
      </w:r>
      <w:r>
        <w:t xml:space="preserve">consequential ones (key zeroize) unconfigured is a softer target.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Forensics.</w:t>
      </w:r>
      <w:r>
        <w:t xml:space="preserve"> </w:t>
      </w:r>
      <w:r>
        <w:t xml:space="preserve">Latched</w:t>
      </w:r>
      <w:r>
        <w:t xml:space="preserve"> </w:t>
      </w:r>
      <w:r>
        <w:rPr>
          <w:rStyle w:val="VerbatimChar"/>
        </w:rPr>
        <w:t xml:space="preserve">TAMPER_STATUS</w:t>
      </w:r>
      <w:r>
        <w:t xml:space="preserve"> </w:t>
      </w:r>
      <w:r>
        <w:t xml:space="preserve">bits on a fielded unit are evidence a source</w:t>
      </w:r>
      <w:r>
        <w:t xml:space="preserve"> </w:t>
      </w:r>
      <w:r>
        <w:t xml:space="preserve">already fired.</w:t>
      </w:r>
    </w:p>
    <w:p>
      <w:r>
        <w:pict>
          <v:rect style="width:0;height:1.5pt" o:hralign="center" o:hrstd="t" o:hr="t"/>
        </w:pict>
      </w:r>
    </w:p>
    <w:bookmarkEnd w:id="16"/>
    <w:bookmarkStart w:id="17" w:name="memory-and-peripheral-trustzone"/>
    <w:p>
      <w:pPr>
        <w:pStyle w:val="Heading2"/>
      </w:pPr>
      <w:r>
        <w:t xml:space="preserve">7. Memory and peripheral TrustZone</w:t>
      </w:r>
    </w:p>
    <w:p>
      <w:pPr>
        <w:pStyle w:val="FirstParagraph"/>
      </w:pPr>
      <w:r>
        <w:rPr>
          <w:b/>
          <w:bCs/>
        </w:rPr>
        <w:t xml:space="preserve">Attributes &amp;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Where (block · address · bits)</w:t>
            </w:r>
          </w:p>
        </w:tc>
        <w:tc>
          <w:tcPr/>
          <w:p>
            <w:pPr>
              <w:pStyle w:val="Compact"/>
            </w:pPr>
            <w:r>
              <w:t xml:space="preserve">This board</w:t>
            </w:r>
          </w:p>
        </w:tc>
        <w:tc>
          <w:tcPr/>
          <w:p>
            <w:pPr>
              <w:pStyle w:val="Compact"/>
            </w:pPr>
            <w:r>
              <w:t xml:space="preserve">Hardened part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DDR TrustZone (ch. 0–5)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DDR_XMPU0..5.CTRL/LOCK · 0xFD000000…0xFD050000</w:t>
            </w:r>
          </w:p>
        </w:tc>
        <w:tc>
          <w:tcPr/>
          <w:p>
            <w:pPr>
              <w:pStyle w:val="Compact"/>
            </w:pPr>
            <w:r>
              <w:t xml:space="preserve">default-region permit</w:t>
            </w:r>
          </w:p>
        </w:tc>
        <w:tc>
          <w:tcPr/>
          <w:p>
            <w:pPr>
              <w:pStyle w:val="Compact"/>
            </w:pPr>
            <w:r>
              <w:t xml:space="preserve">regions configured + LOCK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FPD TrustZone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FPD_XMPU.CTRL/LOCK · 0xFD5D0000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OCM TrustZone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OCM_XMPU.CTRL · 0xFFA70000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0x3</w:t>
            </w:r>
          </w:p>
        </w:tc>
        <w:tc>
          <w:tcPr/>
          <w:p>
            <w:pPr>
              <w:pStyle w:val="Compact"/>
            </w:pPr>
            <w:r>
              <w:t xml:space="preserve">regions 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Peripheral protection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XPPU.CTRL/ISR · 0xFF980000</w:t>
            </w:r>
          </w:p>
        </w:tc>
        <w:tc>
          <w:tcPr/>
          <w:p>
            <w:pPr>
              <w:pStyle w:val="Compact"/>
            </w:pPr>
            <w:r>
              <w:t xml:space="preserve">enabled, no violations</w:t>
            </w:r>
          </w:p>
        </w:tc>
        <w:tc>
          <w:tcPr/>
          <w:p>
            <w:pPr>
              <w:pStyle w:val="Compact"/>
            </w:pPr>
            <w:r>
              <w:t xml:space="preserve">apertures locked down</w:t>
            </w:r>
          </w:p>
        </w:tc>
      </w:tr>
    </w:tbl>
    <w:p>
      <w:pPr>
        <w:pStyle w:val="BodyText"/>
      </w:pPr>
      <w:r>
        <w:t xml:space="preserve">ZynqMP enforces memory/peripheral TrustZone with XMPU (ranges) and XPPU</w:t>
      </w:r>
      <w:r>
        <w:t xml:space="preserve"> </w:t>
      </w:r>
      <w:r>
        <w:t xml:space="preserve">(apertures) — there is no single TZASC.</w:t>
      </w:r>
    </w:p>
    <w:p>
      <w:pPr>
        <w:pStyle w:val="BodyText"/>
      </w:pPr>
      <w:r>
        <w:rPr>
          <w:b/>
          <w:bCs/>
        </w:rPr>
        <w:t xml:space="preserve">What it enables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Cross-master reachability.</w:t>
      </w:r>
      <w:r>
        <w:t xml:space="preserve"> </w:t>
      </w:r>
      <w:r>
        <w:t xml:space="preserve">XMPU/XPPU config tells you whether a foothold on one</w:t>
      </w:r>
      <w:r>
        <w:t xml:space="preserve"> </w:t>
      </w:r>
      <w:r>
        <w:t xml:space="preserve">master (PCIe, USB, a released R5) can reach secure DDR/OCM. Default/open XMPU means</w:t>
      </w:r>
      <w:r>
        <w:t xml:space="preserve"> </w:t>
      </w:r>
      <w:r>
        <w:t xml:space="preserve">a compromised master can read secure memory.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Misconfiguration as a path.</w:t>
      </w:r>
      <w:r>
        <w:t xml:space="preserve"> </w:t>
      </w:r>
      <w:r>
        <w:t xml:space="preserve">A permissive region — or one with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clear, so</w:t>
      </w:r>
      <w:r>
        <w:t xml:space="preserve"> </w:t>
      </w:r>
      <w:r>
        <w:t xml:space="preserve">reconfigurable — is a direct route into protected memory.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PL-TAP exposure.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PLTAP_SEC = 0b111</w:t>
      </w:r>
      <w:r>
        <w:t xml:space="preserve"> </w:t>
      </w:r>
      <w:r>
        <w:t xml:space="preserve">(§3) the FPGA JTAG TAP is reachable —</w:t>
      </w:r>
      <w:r>
        <w:t xml:space="preserve"> </w:t>
      </w:r>
      <w:r>
        <w:t xml:space="preserve">read/modify configuration memory, extract or load bitstreams.</w:t>
      </w:r>
    </w:p>
    <w:p>
      <w:r>
        <w:pict>
          <v:rect style="width:0;height:1.5pt" o:hralign="center" o:hrstd="t" o:hr="t"/>
        </w:pict>
      </w:r>
    </w:p>
    <w:bookmarkEnd w:id="17"/>
    <w:bookmarkStart w:id="18" w:name="boot-and-runtime-state"/>
    <w:p>
      <w:pPr>
        <w:pStyle w:val="Heading2"/>
      </w:pPr>
      <w:r>
        <w:t xml:space="preserve">8. Boot and runtime state</w:t>
      </w:r>
    </w:p>
    <w:p>
      <w:pPr>
        <w:pStyle w:val="FirstParagraph"/>
      </w:pPr>
      <w:r>
        <w:rPr>
          <w:b/>
          <w:bCs/>
        </w:rPr>
        <w:t xml:space="preserve">Attributes &amp;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Where (block · address · bits)</w:t>
            </w:r>
          </w:p>
        </w:tc>
        <w:tc>
          <w:tcPr/>
          <w:p>
            <w:pPr>
              <w:pStyle w:val="Compact"/>
            </w:pPr>
            <w:r>
              <w:t xml:space="preserve">This board</w:t>
            </w:r>
          </w:p>
        </w:tc>
        <w:tc>
          <w:tcPr/>
          <w:p>
            <w:pPr>
              <w:pStyle w:val="Compact"/>
            </w:pPr>
            <w:r>
              <w:t xml:space="preserve">Hardened part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BOOT_MODE_USER · 0xFF5E0200 · bits [3:0]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(JTAG idle)</w:t>
            </w:r>
          </w:p>
        </w:tc>
        <w:tc>
          <w:tcPr/>
          <w:p>
            <w:pPr>
              <w:pStyle w:val="Compact"/>
            </w:pPr>
            <w:r>
              <w:t xml:space="preserve">SD/QSPI/eMMC/USB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Multiboot search offset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CSU.CSU_MULTI_BOOT · 0xFFCA0010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image-chaining offset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/ encrypt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CSU.CSU_STATUS · 0xFFCA0000</w:t>
            </w:r>
            <w:r>
              <w:t xml:space="preserve"> </w:t>
            </w:r>
            <w:r>
              <w:t xml:space="preserve">(BOOT_AUTH/BOOT_ENC)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set after authenticated 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 artifacts (when booted)</w:t>
            </w:r>
          </w:p>
        </w:tc>
        <w:tc>
          <w:tcPr/>
          <w:p>
            <w:pPr>
              <w:pStyle w:val="Compact"/>
            </w:pPr>
            <w:r>
              <w:t xml:space="preserve">OCM</w:t>
            </w:r>
            <w:r>
              <w:t xml:space="preserve"> </w:t>
            </w:r>
            <w:r>
              <w:rPr>
                <w:rStyle w:val="VerbatimChar"/>
              </w:rPr>
              <w:t xml:space="preserve">0xFFFC0000</w:t>
            </w:r>
            <w:r>
              <w:t xml:space="preserve"> </w:t>
            </w:r>
            <w:r>
              <w:t xml:space="preserve">(FSBL), DDR</w:t>
            </w:r>
            <w:r>
              <w:t xml:space="preserve"> </w:t>
            </w:r>
            <w:r>
              <w:rPr>
                <w:rStyle w:val="VerbatimChar"/>
              </w:rPr>
              <w:t xml:space="preserve">0x08000000</w:t>
            </w:r>
            <w:r>
              <w:t xml:space="preserve"> </w:t>
            </w:r>
            <w:r>
              <w:t xml:space="preserve">(U-Boot),</w:t>
            </w:r>
            <w:r>
              <w:t xml:space="preserve"> </w:t>
            </w:r>
            <w:r>
              <w:rPr>
                <w:rStyle w:val="VerbatimChar"/>
              </w:rPr>
              <w:t xml:space="preserve">0x00200000</w:t>
            </w:r>
            <w:r>
              <w:t xml:space="preserve"> </w:t>
            </w:r>
            <w:r>
              <w:t xml:space="preserve">(kernel), …</w:t>
            </w:r>
          </w:p>
        </w:tc>
        <w:tc>
          <w:tcPr/>
          <w:p>
            <w:pPr>
              <w:pStyle w:val="Compact"/>
            </w:pPr>
            <w:r>
              <w:t xml:space="preserve">n/a in JTAG-idle</w:t>
            </w:r>
          </w:p>
        </w:tc>
        <w:tc>
          <w:tcPr/>
          <w:p>
            <w:pPr>
              <w:pStyle w:val="Compact"/>
            </w:pPr>
            <w:r>
              <w:t xml:space="preserve">present + dumpable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enables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Strategy by state.</w:t>
      </w:r>
      <w:r>
        <w:t xml:space="preserve"> </w:t>
      </w:r>
      <w:r>
        <w:t xml:space="preserve">JTAG-idle is a clean slate (only BootROM ran). A booted</w:t>
      </w:r>
      <w:r>
        <w:t xml:space="preserve"> </w:t>
      </w:r>
      <w:r>
        <w:t xml:space="preserve">device has FSBL/U-Boot/kernel up and secrets in DDR — larger but state-dependent.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Live firmware extraction.</w:t>
      </w:r>
      <w:r>
        <w:t xml:space="preserve"> </w:t>
      </w:r>
      <w:r>
        <w:t xml:space="preserve">Once an artifact is located, JTAG reads it straight</w:t>
      </w:r>
      <w:r>
        <w:t xml:space="preserve"> </w:t>
      </w:r>
      <w:r>
        <w:t xml:space="preserve">from physical memory, bypassing software read-protection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dump_image uboot.bin 0x08000000 0x100000</w:t>
      </w:r>
      <w:r>
        <w:t xml:space="preserve">). Version strings in the dump drive</w:t>
      </w:r>
      <w:r>
        <w:t xml:space="preserve"> </w:t>
      </w:r>
      <w:r>
        <w:t xml:space="preserve">version-specific targeting.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ATF/BL31 patch.</w:t>
      </w:r>
      <w:r>
        <w:t xml:space="preserve"> </w:t>
      </w:r>
      <w:r>
        <w:t xml:space="preserve">If ATF is at</w:t>
      </w:r>
      <w:r>
        <w:t xml:space="preserve"> </w:t>
      </w:r>
      <w:r>
        <w:rPr>
          <w:rStyle w:val="VerbatimChar"/>
        </w:rPr>
        <w:t xml:space="preserve">0xFFFEA000</w:t>
      </w:r>
      <w:r>
        <w:t xml:space="preserve"> </w:t>
      </w:r>
      <w:r>
        <w:t xml:space="preserve">(OCM) or in DDR, the EL3 monitor is</w:t>
      </w:r>
      <w:r>
        <w:t xml:space="preserve"> </w:t>
      </w:r>
      <w:r>
        <w:t xml:space="preserve">readable and — with SPIDEN + write access — patchable.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MULTI_BOOT image switching.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CSU_MULTI_BOOT</w:t>
      </w:r>
      <w:r>
        <w:t xml:space="preserve"> </w:t>
      </w:r>
      <w:r>
        <w:t xml:space="preserve">+ reset changes which image</w:t>
      </w:r>
      <w:r>
        <w:t xml:space="preserve"> </w:t>
      </w:r>
      <w:r>
        <w:t xml:space="preserve">the BootROM loads, given boot-media write access.</w:t>
      </w:r>
    </w:p>
    <w:p>
      <w:r>
        <w:pict>
          <v:rect style="width:0;height:1.5pt" o:hralign="center" o:hrstd="t" o:hr="t"/>
        </w:pict>
      </w:r>
    </w:p>
    <w:bookmarkEnd w:id="18"/>
    <w:bookmarkStart w:id="19" w:name="power-clock-reset"/>
    <w:p>
      <w:pPr>
        <w:pStyle w:val="Heading2"/>
      </w:pPr>
      <w:r>
        <w:t xml:space="preserve">9. Power, clock, reset</w:t>
      </w:r>
    </w:p>
    <w:p>
      <w:pPr>
        <w:pStyle w:val="FirstParagraph"/>
      </w:pPr>
      <w:r>
        <w:rPr>
          <w:b/>
          <w:bCs/>
        </w:rPr>
        <w:t xml:space="preserve">Attributes &amp;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Where (block · address · bits)</w:t>
            </w:r>
          </w:p>
        </w:tc>
        <w:tc>
          <w:tcPr/>
          <w:p>
            <w:pPr>
              <w:pStyle w:val="Compact"/>
            </w:pPr>
            <w:r>
              <w:t xml:space="preserve">This board</w:t>
            </w:r>
          </w:p>
        </w:tc>
        <w:tc>
          <w:tcPr/>
          <w:p>
            <w:pPr>
              <w:pStyle w:val="Compact"/>
            </w:pPr>
            <w:r>
              <w:t xml:space="preserve">Hardened part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Powered domains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PMU_GLOBAL.PWR_STATE · 0xFFD80100</w:t>
            </w:r>
          </w:p>
        </w:tc>
        <w:tc>
          <w:tcPr/>
          <w:p>
            <w:pPr>
              <w:pStyle w:val="Compact"/>
            </w:pPr>
            <w:r>
              <w:t xml:space="preserve">only BootROM-era domains up</w:t>
            </w:r>
          </w:p>
        </w:tc>
        <w:tc>
          <w:tcPr/>
          <w:p>
            <w:pPr>
              <w:pStyle w:val="Compact"/>
            </w:pPr>
            <w:r>
              <w:t xml:space="preserve">per running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Peripheral clocks</w:t>
            </w:r>
          </w:p>
        </w:tc>
        <w:tc>
          <w:tcPr/>
          <w:p>
            <w:pPr>
              <w:pStyle w:val="Compact"/>
            </w:pPr>
            <w:r>
              <w:t xml:space="preserve">per-peripheral</w:t>
            </w:r>
            <w:r>
              <w:t xml:space="preserve"> </w:t>
            </w:r>
            <w:r>
              <w:rPr>
                <w:rStyle w:val="VerbatimChar"/>
              </w:rPr>
              <w:t xml:space="preserve">*_REF_CTRL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0xFF5E0050+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most gated in idle</w:t>
            </w:r>
          </w:p>
        </w:tc>
        <w:tc>
          <w:tcPr/>
          <w:p>
            <w:pPr>
              <w:pStyle w:val="Compact"/>
            </w:pPr>
            <w:r>
              <w:t xml:space="preserve">per running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RST_FPD_APU · 0xFD1A0104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RST_LPD_IOU2 · 0xFF5E0238</w:t>
            </w:r>
            <w:r>
              <w:t xml:space="preserve">, …</w:t>
            </w:r>
          </w:p>
        </w:tc>
        <w:tc>
          <w:tcPr/>
          <w:p>
            <w:pPr>
              <w:pStyle w:val="Compact"/>
            </w:pPr>
            <w:r>
              <w:t xml:space="preserve">cores/peripherals in reset</w:t>
            </w:r>
          </w:p>
        </w:tc>
        <w:tc>
          <w:tcPr/>
          <w:p>
            <w:pPr>
              <w:pStyle w:val="Compact"/>
            </w:pPr>
            <w:r>
              <w:t xml:space="preserve">cleared per running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A53 reset-vector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APU.RVBARADDR0L · 0xFD5C0040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(used by the release recipe)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enables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The A53 release primitive.</w:t>
      </w:r>
      <w:r>
        <w:t xml:space="preserve"> </w:t>
      </w:r>
      <w:r>
        <w:t xml:space="preserve">Release A53 core 0 over raw JTAG with no FSBL: set</w:t>
      </w:r>
      <w:r>
        <w:t xml:space="preserve"> </w:t>
      </w:r>
      <w:r>
        <w:t xml:space="preserve">the landing pad in</w:t>
      </w:r>
      <w:r>
        <w:t xml:space="preserve"> </w:t>
      </w:r>
      <w:r>
        <w:rPr>
          <w:rStyle w:val="VerbatimChar"/>
        </w:rPr>
        <w:t xml:space="preserve">RVBARADDR0L</w:t>
      </w:r>
      <w:r>
        <w:t xml:space="preserve">, clear the</w:t>
      </w:r>
      <w:r>
        <w:t xml:space="preserve"> </w:t>
      </w:r>
      <w:r>
        <w:rPr>
          <w:rStyle w:val="VerbatimChar"/>
        </w:rPr>
        <w:t xml:space="preserve">RST_FPD_APU</w:t>
      </w:r>
      <w:r>
        <w:t xml:space="preserve"> </w:t>
      </w:r>
      <w:r>
        <w:t xml:space="preserve">reset bits (ACPU0 / L2 /</w:t>
      </w:r>
      <w:r>
        <w:t xml:space="preserve"> </w:t>
      </w:r>
      <w:r>
        <w:t xml:space="preserve">PWRON), halt — the core lands in EL3. From there: load code, read any memory,</w:t>
      </w:r>
      <w:r>
        <w:t xml:space="preserve"> </w:t>
      </w:r>
      <w:r>
        <w:t xml:space="preserve">modify the EL3 monitor.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Peripheral bring-up.</w:t>
      </w:r>
      <w:r>
        <w:t xml:space="preserve"> </w:t>
      </w:r>
      <w:r>
        <w:t xml:space="preserve">Clear a peripheral’s reset bit + configure its</w:t>
      </w:r>
      <w:r>
        <w:t xml:space="preserve"> </w:t>
      </w:r>
      <w:r>
        <w:rPr>
          <w:rStyle w:val="VerbatimChar"/>
        </w:rPr>
        <w:t xml:space="preserve">*_REF_CTRL</w:t>
      </w:r>
      <w:r>
        <w:t xml:space="preserve"> </w:t>
      </w:r>
      <w:r>
        <w:t xml:space="preserve">to bring it online (e.g. UART for console capture, or to drive a device).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Live attack-surface map.</w:t>
      </w:r>
      <w:r>
        <w:t xml:space="preserve"> </w:t>
      </w:r>
      <w:r>
        <w:t xml:space="preserve">A peripheral both clocked and out-of-reset (UART, GEM,</w:t>
      </w:r>
      <w:r>
        <w:t xml:space="preserve"> </w:t>
      </w:r>
      <w:r>
        <w:t xml:space="preserve">USB) is directly targetable — GEM with a live stack means network reach.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Selective denial.</w:t>
      </w:r>
      <w:r>
        <w:t xml:space="preserve"> </w:t>
      </w:r>
      <w:r>
        <w:t xml:space="preserve">Asserting resets or powering down domains (PL, GEMs, OCM, APU)</w:t>
      </w:r>
      <w:r>
        <w:t xml:space="preserve"> </w:t>
      </w:r>
      <w:r>
        <w:t xml:space="preserve">is a denial primitive — useful when the defender’s response runs on the same SoC.</w:t>
      </w:r>
    </w:p>
    <w:p>
      <w:r>
        <w:pict>
          <v:rect style="width:0;height:1.5pt" o:hralign="center" o:hrstd="t" o:hr="t"/>
        </w:pict>
      </w:r>
    </w:p>
    <w:bookmarkEnd w:id="19"/>
    <w:bookmarkStart w:id="20" w:name="the-security-posture-summary"/>
    <w:p>
      <w:pPr>
        <w:pStyle w:val="Heading2"/>
      </w:pPr>
      <w:r>
        <w:t xml:space="preserve">10. The Security Posture Summary</w:t>
      </w:r>
    </w:p>
    <w:p>
      <w:pPr>
        <w:pStyle w:val="FirstParagraph"/>
      </w:pPr>
      <w:r>
        <w:rPr>
          <w:rStyle w:val="VerbatimChar"/>
        </w:rPr>
        <w:t xml:space="preserve">tools/interpret.py</w:t>
      </w:r>
      <w:r>
        <w:t xml:space="preserve"> </w:t>
      </w:r>
      <w:r>
        <w:t xml:space="preserve">distills §2–§7 into a single</w:t>
      </w:r>
      <w:r>
        <w:t xml:space="preserve"> </w:t>
      </w:r>
      <w:r>
        <w:rPr>
          <w:b/>
          <w:bCs/>
        </w:rPr>
        <w:t xml:space="preserve">Security Posture Summary</w:t>
      </w:r>
      <w:r>
        <w:t xml:space="preserve"> </w:t>
      </w:r>
      <w:r>
        <w:t xml:space="preserve">(</w:t>
      </w:r>
      <w:r>
        <w:rPr>
          <w:rStyle w:val="VerbatimChar"/>
        </w:rPr>
        <w:t xml:space="preserve">rule_security_posture_summary</w:t>
      </w:r>
      <w:r>
        <w:t xml:space="preserve">): one row per control, each with its location,</w:t>
      </w:r>
      <w:r>
        <w:t xml:space="preserve"> </w:t>
      </w:r>
      <w:r>
        <w:t xml:space="preserve">current value, and an</w:t>
      </w:r>
      <w:r>
        <w:t xml:space="preserve"> </w:t>
      </w:r>
      <w:r>
        <w:rPr>
          <w:rStyle w:val="VerbatimChar"/>
        </w:rPr>
        <w:t xml:space="preserve">OFF/dev → ON/provisioned</w:t>
      </w:r>
      <w:r>
        <w:t xml:space="preserve"> </w:t>
      </w:r>
      <w:r>
        <w:t xml:space="preserve">verdict. Rows shown in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are</w:t>
      </w:r>
      <w:r>
        <w:t xml:space="preserve"> </w:t>
      </w:r>
      <w:r>
        <w:t xml:space="preserve">the ones that most change exposure when ON — RSA enforcement, encrypt-only,</w:t>
      </w:r>
      <w:r>
        <w:t xml:space="preserve"> </w:t>
      </w:r>
      <w:r>
        <w:rPr>
          <w:rStyle w:val="VerbatimChar"/>
        </w:rPr>
        <w:t xml:space="preserve">JTAG_DIS</w:t>
      </w:r>
      <w:r>
        <w:t xml:space="preserve">, AES read-lock, PPK provisioned, secure debug, tamper armed.</w:t>
      </w:r>
    </w:p>
    <w:p>
      <w:pPr>
        <w:pStyle w:val="BodyText"/>
      </w:pPr>
      <w:r>
        <w:t xml:space="preserve">Read it first on any new board: all rows OFF means an all-open part; any deviation</w:t>
      </w:r>
      <w:r>
        <w:t xml:space="preserve"> </w:t>
      </w:r>
      <w:r>
        <w:t xml:space="preserve">is the lead to pursue. The exhaustive per-attribute detail behind each row is in</w:t>
      </w:r>
      <w:r>
        <w:t xml:space="preserve"> </w:t>
      </w:r>
      <w:hyperlink r:id="rId9">
        <w:r>
          <w:rPr>
            <w:rStyle w:val="VerbatimChar"/>
          </w:rPr>
          <w:t xml:space="preserve">../11-security-attributes.md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future-work"/>
    <w:p>
      <w:pPr>
        <w:pStyle w:val="Heading2"/>
      </w:pPr>
      <w:r>
        <w:t xml:space="preserve">11. Future work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Hardened-device comparison (the unblocking step).</w:t>
      </w:r>
      <w:r>
        <w:t xml:space="preserve"> </w:t>
      </w:r>
      <w:r>
        <w:t xml:space="preserve">The payoff is diffing this</w:t>
      </w:r>
      <w:r>
        <w:t xml:space="preserve"> </w:t>
      </w:r>
      <w:r>
        <w:t xml:space="preserve">all-open baseline against a known-hardened ZynqMP — which controls read differently</w:t>
      </w:r>
      <w:r>
        <w:t xml:space="preserve"> </w:t>
      </w:r>
      <w:r>
        <w:t xml:space="preserve">and which capabilities survive each hardening fuse. Acquiring such a part is the</w:t>
      </w:r>
      <w:r>
        <w:t xml:space="preserve"> </w:t>
      </w:r>
      <w:r>
        <w:t xml:space="preserve">highest-value next move.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Live per-core debug-authentication read.</w:t>
      </w:r>
      <w:r>
        <w:t xml:space="preserve"> </w:t>
      </w:r>
      <w:r>
        <w:t xml:space="preserve">The posture currently</w:t>
      </w:r>
      <w:r>
        <w:t xml:space="preserve"> </w:t>
      </w:r>
      <w:r>
        <w:rPr>
          <w:i/>
          <w:iCs/>
        </w:rPr>
        <w:t xml:space="preserve">synthesizes</w:t>
      </w:r>
      <w:r>
        <w:t xml:space="preserve"> </w:t>
      </w:r>
      <w:r>
        <w:t xml:space="preserve">debug authorization from</w:t>
      </w:r>
      <w:r>
        <w:t xml:space="preserve"> </w:t>
      </w:r>
      <w:r>
        <w:rPr>
          <w:rStyle w:val="VerbatimChar"/>
        </w:rPr>
        <w:t xml:space="preserve">JTAG_DIS</w:t>
      </w:r>
      <w:r>
        <w:t xml:space="preserve">/</w:t>
      </w:r>
      <w:r>
        <w:rPr>
          <w:rStyle w:val="VerbatimChar"/>
        </w:rPr>
        <w:t xml:space="preserve">DFT_DIS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SPIDEN</w:t>
      </w:r>
      <w:r>
        <w:t xml:space="preserve">/</w:t>
      </w:r>
      <w:r>
        <w:rPr>
          <w:rStyle w:val="VerbatimChar"/>
        </w:rPr>
        <w:t xml:space="preserve">SPNIDEN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DBGEN</w:t>
      </w:r>
      <w:r>
        <w:t xml:space="preserve">. A</w:t>
      </w:r>
      <w:r>
        <w:t xml:space="preserve"> </w:t>
      </w:r>
      <w:r>
        <w:t xml:space="preserve">booted-state read of each core’s CoreSight</w:t>
      </w:r>
      <w:r>
        <w:t xml:space="preserve"> </w:t>
      </w:r>
      <w:r>
        <w:rPr>
          <w:rStyle w:val="VerbatimChar"/>
        </w:rPr>
        <w:t xml:space="preserve">DBGAUTHSTATUS</w:t>
      </w:r>
      <w:r>
        <w:t xml:space="preserve"> </w:t>
      </w:r>
      <w:r>
        <w:t xml:space="preserve">would confirm the live</w:t>
      </w:r>
      <w:r>
        <w:t xml:space="preserve"> </w:t>
      </w:r>
      <w:r>
        <w:t xml:space="preserve">signal (needs core examination, so it stays out of the JTAG-idle baseline to avoid</w:t>
      </w:r>
      <w:r>
        <w:t xml:space="preserve"> </w:t>
      </w:r>
      <w:r>
        <w:t xml:space="preserve">DAP-wedge risk).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AP-topology capture.</w:t>
      </w:r>
      <w:r>
        <w:t xml:space="preserve"> </w:t>
      </w:r>
      <w:r>
        <w:t xml:space="preserve">Fold</w:t>
      </w:r>
      <w:r>
        <w:t xml:space="preserve"> </w:t>
      </w:r>
      <w:r>
        <w:rPr>
          <w:rStyle w:val="VerbatimChar"/>
        </w:rPr>
        <w:t xml:space="preserve">discover.tcl</w:t>
      </w:r>
      <w:r>
        <w:t xml:space="preserve">’s AP enumeration into the report —</w:t>
      </w:r>
      <w:r>
        <w:t xml:space="preserve"> </w:t>
      </w:r>
      <w:r>
        <w:t xml:space="preserve">which APs respond is itself a posture datum (a hardened part may gate the AXI</w:t>
      </w:r>
      <w:r>
        <w:t xml:space="preserve"> </w:t>
      </w:r>
      <w:r>
        <w:t xml:space="preserve">mem-AP while leaving the APB debug AP open).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R5 BootROM dump.</w:t>
      </w:r>
      <w:r>
        <w:t xml:space="preserve"> </w:t>
      </w:r>
      <w:r>
        <w:t xml:space="preserve">Wake the R5 in booted state and dump from a different</w:t>
      </w:r>
      <w:r>
        <w:t xml:space="preserve"> </w:t>
      </w:r>
      <w:r>
        <w:t xml:space="preserve">bus-master ID than the A53 (the A53-EL3 path is chip-filtered).</w:t>
      </w:r>
    </w:p>
    <w:p>
      <w:r>
        <w:pict>
          <v:rect style="width:0;height:1.5pt" o:hralign="center" o:hrstd="t" o:hr="t"/>
        </w:pict>
      </w:r>
    </w:p>
    <w:bookmarkEnd w:id="21"/>
    <w:bookmarkStart w:id="23" w:name="references"/>
    <w:p>
      <w:pPr>
        <w:pStyle w:val="Heading2"/>
      </w:pPr>
      <w:r>
        <w:t xml:space="preserve">12. References</w:t>
      </w:r>
    </w:p>
    <w:p>
      <w:pPr>
        <w:pStyle w:val="FirstParagraph"/>
      </w:pPr>
      <w:r>
        <w:rPr>
          <w:b/>
          <w:bCs/>
        </w:rPr>
        <w:t xml:space="preserve">AMD / Xilinx documentation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UG1085</w:t>
      </w:r>
      <w:r>
        <w:t xml:space="preserve"> </w:t>
      </w:r>
      <w:r>
        <w:t xml:space="preserve">— Zynq UltraScale+ Device TRM (memory map, security model, boot flow, CSU/PMU/eFuse).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UG1087</w:t>
      </w:r>
      <w:r>
        <w:t xml:space="preserve"> </w:t>
      </w:r>
      <w:r>
        <w:t xml:space="preserve">— Register Reference (per-register bit decode).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UG1182</w:t>
      </w:r>
      <w:r>
        <w:t xml:space="preserve"> </w:t>
      </w:r>
      <w:r>
        <w:t xml:space="preserve">— ZCU102 Evaluation Board User Guide (switches, connectors, USB IDs).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UG1137</w:t>
      </w:r>
      <w:r>
        <w:t xml:space="preserve"> </w:t>
      </w:r>
      <w:r>
        <w:t xml:space="preserve">— MPSoC Software Developer Guide (boot chain, FSBL, ATF).</w:t>
      </w:r>
    </w:p>
    <w:p>
      <w:pPr>
        <w:pStyle w:val="FirstParagraph"/>
      </w:pPr>
      <w:r>
        <w:rPr>
          <w:b/>
          <w:bCs/>
        </w:rPr>
        <w:t xml:space="preserve">Open-source code (authoritative bit layouts)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github.com/Xilinx/qemu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REG32</w:t>
      </w:r>
      <w:r>
        <w:t xml:space="preserve">/</w:t>
      </w:r>
      <w:r>
        <w:rPr>
          <w:rStyle w:val="VerbatimChar"/>
        </w:rPr>
        <w:t xml:space="preserve">FIELD</w:t>
      </w:r>
      <w:r>
        <w:t xml:space="preserve"> </w:t>
      </w:r>
      <w:r>
        <w:t xml:space="preserve">register models that are the source</w:t>
      </w:r>
      <w:r>
        <w:t xml:space="preserve"> </w:t>
      </w:r>
      <w:r>
        <w:t xml:space="preserve">of truth for</w:t>
      </w:r>
      <w:r>
        <w:t xml:space="preserve"> </w:t>
      </w:r>
      <w:r>
        <w:rPr>
          <w:rStyle w:val="VerbatimChar"/>
        </w:rPr>
        <w:t xml:space="preserve">openocd/lib/zynqmp-regs-qemu.tcl</w:t>
      </w:r>
      <w:r>
        <w:t xml:space="preserve"> </w:t>
      </w:r>
      <w:r>
        <w:t xml:space="preserve">(</w:t>
      </w:r>
      <w:r>
        <w:rPr>
          <w:rStyle w:val="VerbatimChar"/>
        </w:rPr>
        <w:t xml:space="preserve">hw/misc/csu_core.c</w:t>
      </w:r>
      <w:r>
        <w:t xml:space="preserve">,</w:t>
      </w:r>
      <w:r>
        <w:t xml:space="preserve"> </w:t>
      </w:r>
      <w:r>
        <w:rPr>
          <w:rStyle w:val="VerbatimChar"/>
        </w:rPr>
        <w:t xml:space="preserve">xilinx_zynqmp_crf.c</w:t>
      </w:r>
      <w:r>
        <w:t xml:space="preserve">/</w:t>
      </w:r>
      <w:r>
        <w:rPr>
          <w:rStyle w:val="VerbatimChar"/>
        </w:rPr>
        <w:t xml:space="preserve">crl.c</w:t>
      </w:r>
      <w:r>
        <w:t xml:space="preserve">/</w:t>
      </w:r>
      <w:r>
        <w:rPr>
          <w:rStyle w:val="VerbatimChar"/>
        </w:rPr>
        <w:t xml:space="preserve">pmu_global.c</w:t>
      </w:r>
      <w:r>
        <w:t xml:space="preserve">,</w:t>
      </w:r>
      <w:r>
        <w:t xml:space="preserve"> </w:t>
      </w:r>
      <w:r>
        <w:rPr>
          <w:rStyle w:val="VerbatimChar"/>
        </w:rPr>
        <w:t xml:space="preserve">hw/nvram/xlnx-zynqmp-efuse.c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github.com/Xilinx/u-boot-xlnx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arch/arm/mach-zynqmp/include/mach/hardware.h</w:t>
      </w:r>
      <w:r>
        <w:t xml:space="preserve"> </w:t>
      </w:r>
      <w:r>
        <w:t xml:space="preserve">register structs.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github.com/Xilinx/embeddedsw</w:t>
      </w:r>
      <w:r>
        <w:t xml:space="preserve"> </w:t>
      </w:r>
      <w:r>
        <w:t xml:space="preserve">— FSBL / xilskey / xilsecure address + key-handling definitions.</w:t>
      </w:r>
    </w:p>
    <w:p>
      <w:pPr>
        <w:pStyle w:val="FirstParagraph"/>
      </w:pPr>
      <w:r>
        <w:rPr>
          <w:b/>
          <w:bCs/>
        </w:rPr>
        <w:t xml:space="preserve">ARM</w:t>
      </w:r>
    </w:p>
    <w:p>
      <w:pPr>
        <w:pStyle w:val="Compact"/>
        <w:numPr>
          <w:ilvl w:val="0"/>
          <w:numId w:val="1013"/>
        </w:numPr>
      </w:pPr>
      <w:r>
        <w:t xml:space="preserve">CoreSight Architecture Specification (DAP, APs, DBGEN/NIDEN/SPIDEN/SPNIDEN semantics).</w:t>
      </w:r>
    </w:p>
    <w:p>
      <w:pPr>
        <w:pStyle w:val="Compact"/>
        <w:numPr>
          <w:ilvl w:val="0"/>
          <w:numId w:val="1013"/>
        </w:numPr>
      </w:pPr>
      <w:r>
        <w:t xml:space="preserve">ARMv8-A Architecture Reference Manual (exception levels, secure-world system registers).</w:t>
      </w:r>
    </w:p>
    <w:p>
      <w:pPr>
        <w:pStyle w:val="FirstParagraph"/>
      </w:pPr>
      <w:r>
        <w:rPr>
          <w:b/>
          <w:bCs/>
        </w:rPr>
        <w:t xml:space="preserve">Tooling</w:t>
      </w:r>
    </w:p>
    <w:p>
      <w:pPr>
        <w:pStyle w:val="Compact"/>
        <w:numPr>
          <w:ilvl w:val="0"/>
          <w:numId w:val="1014"/>
        </w:numPr>
      </w:pPr>
      <w:r>
        <w:t xml:space="preserve">OpenOCD 0.12+ (</w:t>
      </w:r>
      <w:r>
        <w:rPr>
          <w:rStyle w:val="VerbatimChar"/>
        </w:rPr>
        <w:t xml:space="preserve">openocd.org</w:t>
      </w:r>
      <w:r>
        <w:t xml:space="preserve">); JEP106 (JEDEC manufacturer IDs for IDCODE decode).</w:t>
      </w:r>
    </w:p>
    <w:bookmarkStart w:id="22" w:name="internal-references"/>
    <w:p>
      <w:pPr>
        <w:pStyle w:val="Heading3"/>
      </w:pPr>
      <w:r>
        <w:t xml:space="preserve">Internal references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docs/11-security-attributes.md</w:t>
      </w:r>
      <w:r>
        <w:t xml:space="preserve"> </w:t>
      </w:r>
      <w:r>
        <w:t xml:space="preserve">— the per-attribute catalog behind this volume.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docs/05-enumeration-tool.md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enumerate.tcl</w:t>
      </w:r>
      <w:r>
        <w:t xml:space="preserve"> </w:t>
      </w:r>
      <w:r>
        <w:t xml:space="preserve">(18 sections) +</w:t>
      </w:r>
      <w:r>
        <w:t xml:space="preserve"> </w:t>
      </w:r>
      <w:r>
        <w:rPr>
          <w:rStyle w:val="VerbatimChar"/>
        </w:rPr>
        <w:t xml:space="preserve">interpret.py</w:t>
      </w:r>
      <w:r>
        <w:t xml:space="preserve"> </w:t>
      </w:r>
      <w:r>
        <w:t xml:space="preserve">pipeline.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openocd/lib/zynqmp-regs-qemu.tcl</w:t>
      </w:r>
      <w:r>
        <w:t xml:space="preserve"> </w:t>
      </w:r>
      <w:r>
        <w:t xml:space="preserve">— verified register/address/bit source of truth.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docs/annotations/zynqmp_security.py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docs/findings/zynqmp_rules.py</w:t>
      </w:r>
      <w:r>
        <w:t xml:space="preserve"> </w:t>
      </w:r>
      <w:r>
        <w:t xml:space="preserve">— decoders + posture rules.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Volume 3.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11-security-attribut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11-security-attribut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2026-06-08T14:42:53Z</dcterms:created>
  <dcterms:modified xsi:type="dcterms:W3CDTF">2026-06-08T14:42:53Z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False</vt:lpwstr>
  </property>
</Properties>
</file>