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JTAG Enumeration Lab Setup and Test Architecture</w:t>
      </w:r>
    </w:p>
    <w:p>
      <w:pPr>
        <w:pStyle w:val="Subtitle"/>
      </w:pPr>
      <w:r>
        <w:t xml:space="preserve">Companion to the whitepaper series — reproducing the workflow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b698d61e6671930c5958b668616f755cb99f0f6"/>
    <w:p>
      <w:pPr>
        <w:pStyle w:val="Heading1"/>
      </w:pPr>
      <w:r>
        <w:t xml:space="preserve">JTAG Enumeration Lab Setup and Test Architecture</w:t>
      </w:r>
    </w:p>
    <w:p>
      <w:pPr>
        <w:pStyle w:val="FirstParagraph"/>
      </w:pPr>
      <w:r>
        <w:t xml:space="preserve">This document is the operational companion to the three-volume whitepaper.</w:t>
      </w:r>
      <w:r>
        <w:t xml:space="preserve"> </w:t>
      </w:r>
      <w:r>
        <w:t xml:space="preserve">Where the whitepaper covers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enumeration workflow finds and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to interpret it</w:t>
      </w:r>
      <w:r>
        <w:t xml:space="preserve">, this document covers</w:t>
      </w:r>
      <w:r>
        <w:t xml:space="preserve"> </w:t>
      </w:r>
      <w:r>
        <w:rPr>
          <w:i/>
          <w:iCs/>
        </w:rPr>
        <w:t xml:space="preserve">what hardware and software to</w:t>
      </w:r>
      <w:r>
        <w:rPr>
          <w:i/>
          <w:iCs/>
        </w:rPr>
        <w:t xml:space="preserve"> </w:t>
      </w:r>
      <w:r>
        <w:rPr>
          <w:i/>
          <w:iCs/>
        </w:rPr>
        <w:t xml:space="preserve">buy and install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how the change-validation framework works</w:t>
      </w:r>
      <w:r>
        <w:t xml:space="preserve">.</w:t>
      </w:r>
    </w:p>
    <w:p>
      <w:pPr>
        <w:pStyle w:val="BodyText"/>
      </w:pPr>
      <w:r>
        <w:t xml:space="preserve">Read this before standing up your own lab. Read it again when you want</w:t>
      </w:r>
      <w:r>
        <w:t xml:space="preserve"> </w:t>
      </w:r>
      <w:r>
        <w:t xml:space="preserve">to extend the toolchain.</w:t>
      </w:r>
    </w:p>
    <w:p>
      <w:r>
        <w:pict>
          <v:rect style="width:0;height:1.5pt" o:hralign="center" o:hrstd="t" o:hr="t"/>
        </w:pict>
      </w:r>
    </w:p>
    <w:bookmarkStart w:id="16" w:name="hardware"/>
    <w:p>
      <w:pPr>
        <w:pStyle w:val="Heading2"/>
      </w:pPr>
      <w:r>
        <w:t xml:space="preserve">1. Hardware</w:t>
      </w:r>
    </w:p>
    <w:bookmarkStart w:id="9" w:name="reference-board"/>
    <w:p>
      <w:pPr>
        <w:pStyle w:val="Heading3"/>
      </w:pPr>
      <w:r>
        <w:t xml:space="preserve">1.1 Reference board</w:t>
      </w:r>
    </w:p>
    <w:p>
      <w:pPr>
        <w:pStyle w:val="FirstParagraph"/>
      </w:pPr>
      <w:r>
        <w:t xml:space="preserve">The project’s reference board is the AMD</w:t>
      </w:r>
      <w:r>
        <w:t xml:space="preserve"> </w:t>
      </w:r>
      <w:r>
        <w:rPr>
          <w:b/>
          <w:bCs/>
        </w:rPr>
        <w:t xml:space="preserve">ZCU102 Evaluation Kit</w:t>
      </w:r>
      <w:r>
        <w:t xml:space="preserve">. All</w:t>
      </w:r>
      <w:r>
        <w:t xml:space="preserve"> </w:t>
      </w:r>
      <w:r>
        <w:t xml:space="preserve">captured data, sample reports, and case studies in the whitepaper</w:t>
      </w:r>
      <w:r>
        <w:t xml:space="preserve"> </w:t>
      </w:r>
      <w:r>
        <w:t xml:space="preserve">series come from a ZCU102 running in JTAG-idle mode.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AMD ZCU102 Evaluation Kit</w:t>
            </w:r>
          </w:p>
        </w:tc>
        <w:tc>
          <w:tcPr/>
          <w:p>
            <w:pPr>
              <w:pStyle w:val="Compact"/>
            </w:pPr>
            <w:r>
              <w:t xml:space="preserve">Built around XCZU9EG silicon, 4-core A53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 part number</w:t>
            </w:r>
          </w:p>
        </w:tc>
        <w:tc>
          <w:tcPr/>
          <w:p>
            <w:pPr>
              <w:pStyle w:val="Compact"/>
            </w:pPr>
            <w:r>
              <w:t xml:space="preserve">EK-U1-ZCU102-G</w:t>
            </w:r>
          </w:p>
        </w:tc>
        <w:tc>
          <w:tcPr/>
          <w:p>
            <w:pPr>
              <w:pStyle w:val="Compact"/>
            </w:pPr>
            <w:r>
              <w:t xml:space="preserve">Order from AMD or distributor (Avnet, Digi-Key, Mouser)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Approx. cost</w:t>
            </w:r>
          </w:p>
        </w:tc>
        <w:tc>
          <w:tcPr/>
          <w:p>
            <w:pPr>
              <w:pStyle w:val="Compact"/>
            </w:pPr>
            <w:r>
              <w:t xml:space="preserve">~$3,000 USD</w:t>
            </w:r>
          </w:p>
        </w:tc>
        <w:tc>
          <w:tcPr/>
          <w:p>
            <w:pPr>
              <w:pStyle w:val="Compact"/>
            </w:pPr>
            <w:r>
              <w:t xml:space="preserve">Educational pricing may be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12V DC, 5A barrel jack</w:t>
            </w:r>
          </w:p>
        </w:tc>
        <w:tc>
          <w:tcPr/>
          <w:p>
            <w:pPr>
              <w:pStyle w:val="Compact"/>
            </w:pPr>
            <w:r>
              <w:t xml:space="preserve">Use the included PSU</w:t>
            </w:r>
          </w:p>
        </w:tc>
      </w:tr>
    </w:tbl>
    <w:p>
      <w:pPr>
        <w:pStyle w:val="BodyText"/>
      </w:pPr>
      <w:r>
        <w:t xml:space="preserve">The workflow generalizes to any ZynqMP-based board (ZCU104, ZCU106,</w:t>
      </w:r>
      <w:r>
        <w:t xml:space="preserve"> </w:t>
      </w:r>
      <w:r>
        <w:t xml:space="preserve">Ultra96, custom XCZU* designs, RFSoC ZCU111/208/216). The toolchain</w:t>
      </w:r>
      <w:r>
        <w:t xml:space="preserve"> </w:t>
      </w:r>
      <w:r>
        <w:t xml:space="preserve">detects variant differences via the IDCODE PART_ID and adapts.</w:t>
      </w:r>
    </w:p>
    <w:bookmarkEnd w:id="9"/>
    <w:bookmarkStart w:id="10" w:name="host-machine"/>
    <w:p>
      <w:pPr>
        <w:pStyle w:val="Heading3"/>
      </w:pPr>
      <w:r>
        <w:t xml:space="preserve">1.2 Host machine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Kali Linux (any recent release)</w:t>
            </w:r>
          </w:p>
        </w:tc>
        <w:tc>
          <w:tcPr/>
          <w:p>
            <w:pPr>
              <w:pStyle w:val="Compact"/>
            </w:pPr>
            <w:r>
              <w:t xml:space="preserve">Kali rolling on bare metal, or VMware Workstation 17+ 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50 GB free</w:t>
            </w:r>
          </w:p>
        </w:tc>
        <w:tc>
          <w:tcPr/>
          <w:p>
            <w:pPr>
              <w:pStyle w:val="Compact"/>
            </w:pPr>
            <w:r>
              <w:t xml:space="preserve">150 GB free (allows Vitis install 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</w:t>
            </w:r>
          </w:p>
        </w:tc>
        <w:tc>
          <w:tcPr/>
          <w:p>
            <w:pPr>
              <w:pStyle w:val="Compact"/>
            </w:pPr>
            <w:r>
              <w:t xml:space="preserve">USB 2.0 ports</w:t>
            </w:r>
          </w:p>
        </w:tc>
        <w:tc>
          <w:tcPr/>
          <w:p>
            <w:pPr>
              <w:pStyle w:val="Compact"/>
            </w:pPr>
            <w:r>
              <w:t xml:space="preserve">USB 3.0 (powered hub recommended — see §1.3)</w:t>
            </w:r>
          </w:p>
        </w:tc>
      </w:tr>
    </w:tbl>
    <w:p>
      <w:pPr>
        <w:pStyle w:val="BodyText"/>
      </w:pPr>
      <w:r>
        <w:t xml:space="preserve">VMware guest is fully supported and is the project’s reference</w:t>
      </w:r>
      <w:r>
        <w:t xml:space="preserve"> </w:t>
      </w:r>
      <w:r>
        <w:t xml:space="preserve">configuration. USB passthrough caveats are in §2.3.</w:t>
      </w:r>
    </w:p>
    <w:bookmarkEnd w:id="10"/>
    <w:bookmarkStart w:id="11" w:name="cables-and-accessories"/>
    <w:p>
      <w:pPr>
        <w:pStyle w:val="Heading3"/>
      </w:pPr>
      <w:r>
        <w:t xml:space="preserve">1.3 Cables and accessories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micro-B cable × 2</w:t>
            </w:r>
          </w:p>
        </w:tc>
        <w:tc>
          <w:tcPr/>
          <w:p>
            <w:pPr>
              <w:pStyle w:val="Compact"/>
            </w:pPr>
            <w:r>
              <w:t xml:space="preserve">One for JTAG (</w:t>
            </w:r>
            <w:r>
              <w:rPr>
                <w:rStyle w:val="VerbatimChar"/>
              </w:rPr>
              <w:t xml:space="preserve">U33</w:t>
            </w:r>
            <w:r>
              <w:t xml:space="preserve">), one for UART (</w:t>
            </w:r>
            <w:r>
              <w:rPr>
                <w:rStyle w:val="VerbatimChar"/>
              </w:rPr>
              <w:t xml:space="preserve">U40</w:t>
            </w:r>
            <w:r>
              <w:t xml:space="preserve">). Quality matters; use known-good cables.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Powered USB hub</w:t>
            </w:r>
          </w:p>
        </w:tc>
        <w:tc>
          <w:tcPr/>
          <w:p>
            <w:pPr>
              <w:pStyle w:val="Compact"/>
            </w:pPr>
            <w:r>
              <w:t xml:space="preserve">Optional but recommended in VMware setups — keeps the FT232H stable across guest restarts.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+ HDMI cable</w:t>
            </w:r>
          </w:p>
        </w:tc>
        <w:tc>
          <w:tcPr/>
          <w:p>
            <w:pPr>
              <w:pStyle w:val="Compact"/>
            </w:pPr>
            <w:r>
              <w:t xml:space="preserve">Optional. Useful when booting from SD to see Linux console. Not required for JTAG-only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MicroSD card (≥ 16 GB)</w:t>
            </w:r>
          </w:p>
        </w:tc>
        <w:tc>
          <w:tcPr/>
          <w:p>
            <w:pPr>
              <w:pStyle w:val="Compact"/>
            </w:pPr>
            <w:r>
              <w:t xml:space="preserve">Optional. Only required when you want to boot from SD for the booted-state enumeration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Antistatic mat / strap</w:t>
            </w:r>
          </w:p>
        </w:tc>
        <w:tc>
          <w:tcPr/>
          <w:p>
            <w:pPr>
              <w:pStyle w:val="Compact"/>
            </w:pPr>
            <w:r>
              <w:t xml:space="preserve">Recommended whenever the board is unboxed or handled.</w:t>
            </w:r>
          </w:p>
        </w:tc>
      </w:tr>
    </w:tbl>
    <w:bookmarkEnd w:id="11"/>
    <w:bookmarkStart w:id="15" w:name="physical-topology"/>
    <w:p>
      <w:pPr>
        <w:pStyle w:val="Heading3"/>
      </w:pPr>
      <w:r>
        <w:t xml:space="preserve">1.4 Physical topology</w:t>
      </w:r>
    </w:p>
    <w:p>
      <w:pPr>
        <w:pStyle w:val="FirstParagraph"/>
      </w:pPr>
      <w:r>
        <w:t xml:space="preserve">The connections look like this:</w:t>
      </w:r>
    </w:p>
    <w:p>
      <w:pPr>
        <w:pStyle w:val="CaptionedFigure"/>
      </w:pPr>
      <w:r>
        <w:drawing>
          <wp:inline>
            <wp:extent cx="5334000" cy="2605050"/>
            <wp:effectExtent b="0" l="0" r="0" t="0"/>
            <wp:docPr descr="Physical lab topology showing host, USB hub, ZCU102, and its on-board USB endpoints" title="" id="13" name="Picture"/>
            <a:graphic>
              <a:graphicData uri="http://schemas.openxmlformats.org/drawingml/2006/picture">
                <pic:pic>
                  <pic:nvPicPr>
                    <pic:cNvPr descr="figures/lab-01-physical-topolog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5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Physical lab topology showing host, USB hub, ZCU102, and its on-board USB endpoints</w:t>
      </w:r>
    </w:p>
    <w:p>
      <w:pPr>
        <w:pStyle w:val="BodyText"/>
      </w:pPr>
      <w:r>
        <w:t xml:space="preserve">Key things to understand from this diagram:</w:t>
      </w:r>
    </w:p>
    <w:p>
      <w:pPr>
        <w:pStyle w:val="Compact"/>
        <w:numPr>
          <w:ilvl w:val="0"/>
          <w:numId w:val="1001"/>
        </w:numPr>
      </w:pPr>
      <w:r>
        <w:t xml:space="preserve">The ZCU102 has</w:t>
      </w:r>
      <w:r>
        <w:t xml:space="preserve"> </w:t>
      </w:r>
      <w:r>
        <w:rPr>
          <w:b/>
          <w:bCs/>
        </w:rPr>
        <w:t xml:space="preserve">two distinct USB micro-B endpoints</w:t>
      </w:r>
      <w:r>
        <w:t xml:space="preserve">. Both must be</w:t>
      </w:r>
      <w:r>
        <w:t xml:space="preserve"> </w:t>
      </w:r>
      <w:r>
        <w:t xml:space="preserve">cabled to the host to do the full workflow.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JTAG via FT232H</w:t>
      </w:r>
      <w:r>
        <w:t xml:space="preserve"> </w:t>
      </w:r>
      <w:r>
        <w:t xml:space="preserve">(</w:t>
      </w:r>
      <w:r>
        <w:rPr>
          <w:rStyle w:val="VerbatimChar"/>
        </w:rPr>
        <w:t xml:space="preserve">U33</w:t>
      </w:r>
      <w:r>
        <w:t xml:space="preserve">) appears to the host as USB ID</w:t>
      </w:r>
      <w:r>
        <w:t xml:space="preserve"> </w:t>
      </w:r>
      <w:r>
        <w:rPr>
          <w:rStyle w:val="VerbatimChar"/>
        </w:rPr>
        <w:t xml:space="preserve">0403:6014</w:t>
      </w:r>
      <w:r>
        <w:t xml:space="preserve"> </w:t>
      </w:r>
      <w:r>
        <w:t xml:space="preserve">with product string</w:t>
      </w:r>
      <w:r>
        <w:t xml:space="preserve"> </w:t>
      </w:r>
      <w:r>
        <w:t xml:space="preserve">“Digilent USB Device.”</w:t>
      </w:r>
      <w:r>
        <w:t xml:space="preserve"> </w:t>
      </w:r>
      <w:r>
        <w:t xml:space="preserve">This is the interface</w:t>
      </w:r>
      <w:r>
        <w:t xml:space="preserve"> </w:t>
      </w:r>
      <w:r>
        <w:rPr>
          <w:rStyle w:val="VerbatimChar"/>
        </w:rPr>
        <w:t xml:space="preserve">openocd/zcu102.cfg</w:t>
      </w:r>
      <w:r>
        <w:t xml:space="preserve"> </w:t>
      </w:r>
      <w:r>
        <w:t xml:space="preserve">selects.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UART via CP2108</w:t>
      </w:r>
      <w:r>
        <w:t xml:space="preserve"> </w:t>
      </w:r>
      <w:r>
        <w:t xml:space="preserve">(</w:t>
      </w:r>
      <w:r>
        <w:rPr>
          <w:rStyle w:val="VerbatimChar"/>
        </w:rPr>
        <w:t xml:space="preserve">U40</w:t>
      </w:r>
      <w:r>
        <w:t xml:space="preserve">) appears as USB ID</w:t>
      </w:r>
      <w:r>
        <w:t xml:space="preserve"> </w:t>
      </w:r>
      <w:r>
        <w:rPr>
          <w:rStyle w:val="VerbatimChar"/>
        </w:rPr>
        <w:t xml:space="preserve">10c4:ea71</w:t>
      </w:r>
      <w:r>
        <w:t xml:space="preserve">, which</w:t>
      </w:r>
      <w:r>
        <w:t xml:space="preserve"> </w:t>
      </w:r>
      <w:r>
        <w:t xml:space="preserve">enumerates as four serial devices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/dev/ttyUSB3</w:t>
      </w:r>
      <w:r>
        <w:t xml:space="preserve"> </w:t>
      </w:r>
      <w:r>
        <w:t xml:space="preserve">(mapping documented in</w:t>
      </w:r>
      <w:r>
        <w:t xml:space="preserve"> </w:t>
      </w:r>
      <w:r>
        <w:rPr>
          <w:rStyle w:val="VerbatimChar"/>
        </w:rPr>
        <w:t xml:space="preserve">memory/reference_zcu102_ports.md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 Controller</w:t>
      </w:r>
      <w:r>
        <w:t xml:space="preserve"> </w:t>
      </w:r>
      <w:r>
        <w:t xml:space="preserve">is a separate Zynq-7000 on the same board</w:t>
      </w:r>
      <w:r>
        <w:t xml:space="preserve"> </w:t>
      </w:r>
      <w:r>
        <w:t xml:space="preserve">that manages power sequencing, I2C, voltage regulation, and the</w:t>
      </w:r>
      <w:r>
        <w:t xml:space="preserve"> </w:t>
      </w:r>
      <w:r>
        <w:t xml:space="preserve">reset buttons. It’s not normally a research target.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SW6 DIP switch</w:t>
      </w:r>
      <w:r>
        <w:t xml:space="preserve"> </w:t>
      </w:r>
      <w:r>
        <w:t xml:space="preserve">sets the boot mode the BootROM reads at</w:t>
      </w:r>
      <w:r>
        <w:t xml:space="preserve"> </w:t>
      </w:r>
      <w:r>
        <w:t xml:space="preserve">PS_POR_B release. All-ON = JTAG idle (the cleanest baseline for</w:t>
      </w:r>
      <w:r>
        <w:t xml:space="preserve"> </w:t>
      </w:r>
      <w:r>
        <w:t xml:space="preserve">enumeration). Other positions select QSPI, SD, eMMC, USB boot.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SW1</w:t>
      </w:r>
      <w:r>
        <w:t xml:space="preserve"> </w:t>
      </w:r>
      <w:r>
        <w:t xml:space="preserve">is the power button. Pressing it toggles the SoC’s power</w:t>
      </w:r>
      <w:r>
        <w:t xml:space="preserve"> </w:t>
      </w:r>
      <w:r>
        <w:t xml:space="preserve">state without removing 12V from the board.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oftware-install"/>
    <w:p>
      <w:pPr>
        <w:pStyle w:val="Heading2"/>
      </w:pPr>
      <w:r>
        <w:t xml:space="preserve">2. Software install</w:t>
      </w:r>
    </w:p>
    <w:bookmarkStart w:id="17" w:name="openocd-and-base-tools"/>
    <w:p>
      <w:pPr>
        <w:pStyle w:val="Heading3"/>
      </w:pPr>
      <w:r>
        <w:t xml:space="preserve">2.1 OpenOCD and base tools</w:t>
      </w:r>
    </w:p>
    <w:p>
      <w:pPr>
        <w:pStyle w:val="FirstParagraph"/>
      </w:pPr>
      <w:r>
        <w:t xml:space="preserve">These are required for the enumeration workflow itself:</w:t>
      </w:r>
    </w:p>
    <w:p>
      <w:pPr>
        <w:pStyle w:val="SourceCode"/>
      </w:pPr>
      <w:r>
        <w:rPr>
          <w:rStyle w:val="VerbatimChar"/>
        </w:rPr>
        <w:t xml:space="preserve">sudo apt-get update</w:t>
      </w:r>
      <w:r>
        <w:br/>
      </w:r>
      <w:r>
        <w:rPr>
          <w:rStyle w:val="VerbatimChar"/>
        </w:rPr>
        <w:t xml:space="preserve">sudo apt-get install -y \</w:t>
      </w:r>
      <w:r>
        <w:br/>
      </w:r>
      <w:r>
        <w:rPr>
          <w:rStyle w:val="VerbatimChar"/>
        </w:rPr>
        <w:t xml:space="preserve">    openocd \</w:t>
      </w:r>
      <w:r>
        <w:br/>
      </w:r>
      <w:r>
        <w:rPr>
          <w:rStyle w:val="VerbatimChar"/>
        </w:rPr>
        <w:t xml:space="preserve">    tio \</w:t>
      </w:r>
      <w:r>
        <w:br/>
      </w:r>
      <w:r>
        <w:rPr>
          <w:rStyle w:val="VerbatimChar"/>
        </w:rPr>
        <w:t xml:space="preserve">    minicom \</w:t>
      </w:r>
      <w:r>
        <w:br/>
      </w:r>
      <w:r>
        <w:rPr>
          <w:rStyle w:val="VerbatimChar"/>
        </w:rPr>
        <w:t xml:space="preserve">    screen \</w:t>
      </w:r>
      <w:r>
        <w:br/>
      </w:r>
      <w:r>
        <w:rPr>
          <w:rStyle w:val="VerbatimChar"/>
        </w:rPr>
        <w:t xml:space="preserve">    usbutils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openocd</w:t>
            </w:r>
          </w:p>
        </w:tc>
        <w:tc>
          <w:tcPr/>
          <w:p>
            <w:pPr>
              <w:pStyle w:val="Compact"/>
            </w:pPr>
            <w:r>
              <w:t xml:space="preserve">JTAG host — runs the enumeration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tio</w:t>
            </w:r>
          </w:p>
        </w:tc>
        <w:tc>
          <w:tcPr/>
          <w:p>
            <w:pPr>
              <w:pStyle w:val="Compact"/>
            </w:pPr>
            <w:r>
              <w:t xml:space="preserve">Friendly serial terminal for UART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Alternative serial terminals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lsusb</w:t>
            </w:r>
            <w:r>
              <w:t xml:space="preserve"> </w:t>
            </w:r>
            <w:r>
              <w:t xml:space="preserve">for autoconnect’s USB scan</w:t>
            </w:r>
          </w:p>
        </w:tc>
      </w:tr>
    </w:tbl>
    <w:bookmarkEnd w:id="17"/>
    <w:bookmarkStart w:id="18" w:name="whitepaper-generation-tooling"/>
    <w:p>
      <w:pPr>
        <w:pStyle w:val="Heading3"/>
      </w:pPr>
      <w:r>
        <w:t xml:space="preserve">2.2 Whitepaper generation tooling</w:t>
      </w:r>
    </w:p>
    <w:p>
      <w:pPr>
        <w:pStyle w:val="FirstParagraph"/>
      </w:pPr>
      <w:r>
        <w:t xml:space="preserve">Required only if you’ll regenerate the PDF/DOCX artifacts:</w:t>
      </w:r>
    </w:p>
    <w:p>
      <w:pPr>
        <w:pStyle w:val="SourceCode"/>
      </w:pPr>
      <w:r>
        <w:rPr>
          <w:rStyle w:val="VerbatimChar"/>
        </w:rPr>
        <w:t xml:space="preserve">sudo apt-get install -y \</w:t>
      </w:r>
      <w:r>
        <w:br/>
      </w:r>
      <w:r>
        <w:rPr>
          <w:rStyle w:val="VerbatimChar"/>
        </w:rPr>
        <w:t xml:space="preserve">    pandoc \</w:t>
      </w:r>
      <w:r>
        <w:br/>
      </w:r>
      <w:r>
        <w:rPr>
          <w:rStyle w:val="VerbatimChar"/>
        </w:rPr>
        <w:t xml:space="preserve">    texlive-latex-recommended \</w:t>
      </w:r>
      <w:r>
        <w:br/>
      </w:r>
      <w:r>
        <w:rPr>
          <w:rStyle w:val="VerbatimChar"/>
        </w:rPr>
        <w:t xml:space="preserve">    texlive-fonts-recommended \</w:t>
      </w:r>
      <w:r>
        <w:br/>
      </w:r>
      <w:r>
        <w:rPr>
          <w:rStyle w:val="VerbatimChar"/>
        </w:rPr>
        <w:t xml:space="preserve">    texlive-xetex \</w:t>
      </w:r>
      <w:r>
        <w:br/>
      </w:r>
      <w:r>
        <w:rPr>
          <w:rStyle w:val="VerbatimChar"/>
        </w:rPr>
        <w:t xml:space="preserve">    graphviz \</w:t>
      </w:r>
      <w:r>
        <w:br/>
      </w:r>
      <w:r>
        <w:rPr>
          <w:rStyle w:val="VerbatimChar"/>
        </w:rPr>
        <w:t xml:space="preserve">    imagemagick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PDF/DOCX converter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texlive-*</w:t>
            </w:r>
          </w:p>
        </w:tc>
        <w:tc>
          <w:tcPr/>
          <w:p>
            <w:pPr>
              <w:pStyle w:val="Compact"/>
            </w:pPr>
            <w:r>
              <w:t xml:space="preserve">LaTeX backend for PDF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graphviz</w:t>
            </w:r>
          </w:p>
        </w:tc>
        <w:tc>
          <w:tcPr/>
          <w:p>
            <w:pPr>
              <w:pStyle w:val="Compact"/>
            </w:pPr>
            <w:r>
              <w:t xml:space="preserve">Renders the</w:t>
            </w:r>
            <w:r>
              <w:t xml:space="preserve"> </w:t>
            </w:r>
            <w:r>
              <w:rPr>
                <w:rStyle w:val="VerbatimChar"/>
              </w:rPr>
              <w:t xml:space="preserve">.dot</w:t>
            </w:r>
            <w:r>
              <w:t xml:space="preserve"> </w:t>
            </w:r>
            <w:r>
              <w:t xml:space="preserve">figure sources to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imagemagick</w:t>
            </w:r>
          </w:p>
        </w:tc>
        <w:tc>
          <w:tcPr/>
          <w:p>
            <w:pPr>
              <w:pStyle w:val="Compact"/>
            </w:pPr>
            <w:r>
              <w:t xml:space="preserve">Image conversion and page preview rendering</w:t>
            </w:r>
          </w:p>
        </w:tc>
      </w:tr>
    </w:tbl>
    <w:p>
      <w:pPr>
        <w:pStyle w:val="BodyText"/>
      </w:pPr>
      <w:r>
        <w:t xml:space="preserve">Total disk footprint for the whitepaper toolchain: ~600 MB.</w:t>
      </w:r>
    </w:p>
    <w:bookmarkEnd w:id="18"/>
    <w:bookmarkStart w:id="19" w:name="udev-rule-for-non-root-ft232h-access"/>
    <w:p>
      <w:pPr>
        <w:pStyle w:val="Heading3"/>
      </w:pPr>
      <w:r>
        <w:t xml:space="preserve">2.3 udev rule for non-root FT232H access</w:t>
      </w:r>
    </w:p>
    <w:p>
      <w:pPr>
        <w:pStyle w:val="FirstParagraph"/>
      </w:pPr>
      <w:r>
        <w:t xml:space="preserve">By default, only root can talk to the FT232H. Without this rule</w:t>
      </w:r>
      <w:r>
        <w:t xml:space="preserve"> </w:t>
      </w:r>
      <w:r>
        <w:t xml:space="preserve">OpenOCD must be invoked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which is awkward and risky.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/etc/udev/rules.d/99-ftdi-jtag.rules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SUBSYSTEM=="usb", ATTRS{idVendor}=="0403", ATTRS{idProduct}=="6014", \</w:t>
      </w:r>
      <w:r>
        <w:br/>
      </w:r>
      <w:r>
        <w:rPr>
          <w:rStyle w:val="VerbatimChar"/>
        </w:rPr>
        <w:t xml:space="preserve">    MODE="0666", GROUP="plugdev"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sudo udevadm control --reload-rules</w:t>
      </w:r>
      <w:r>
        <w:br/>
      </w:r>
      <w:r>
        <w:rPr>
          <w:rStyle w:val="VerbatimChar"/>
        </w:rPr>
        <w:t xml:space="preserve">sudo udevadm trigger</w:t>
      </w:r>
    </w:p>
    <w:p>
      <w:pPr>
        <w:pStyle w:val="FirstParagraph"/>
      </w:pPr>
      <w:r>
        <w:t xml:space="preserve">Unplug and replug the JTAG USB cable. Verify</w:t>
      </w:r>
      <w:r>
        <w:t xml:space="preserve"> </w:t>
      </w:r>
      <w:r>
        <w:rPr>
          <w:rStyle w:val="VerbatimChar"/>
        </w:rPr>
        <w:t xml:space="preserve">lsusb</w:t>
      </w:r>
      <w:r>
        <w:t xml:space="preserve"> </w:t>
      </w:r>
      <w:r>
        <w:t xml:space="preserve">shows the device</w:t>
      </w:r>
      <w:r>
        <w:t xml:space="preserve"> </w:t>
      </w:r>
      <w:r>
        <w:t xml:space="preserve">and you can run OpenOCD without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bookmarkEnd w:id="19"/>
    <w:bookmarkStart w:id="20" w:name="vmware-usb-passthrough"/>
    <w:p>
      <w:pPr>
        <w:pStyle w:val="Heading3"/>
      </w:pPr>
      <w:r>
        <w:t xml:space="preserve">2.4 VMware USB passthrough</w:t>
      </w:r>
    </w:p>
    <w:p>
      <w:pPr>
        <w:pStyle w:val="FirstParagraph"/>
      </w:pPr>
      <w:r>
        <w:t xml:space="preserve">If you’re running Kali as a VMware guest, the JTAG and UART USB</w:t>
      </w:r>
      <w:r>
        <w:t xml:space="preserve"> </w:t>
      </w:r>
      <w:r>
        <w:t xml:space="preserve">devices need to be passed through to the guest, not consumed by the</w:t>
      </w:r>
      <w:r>
        <w:t xml:space="preserve"> </w:t>
      </w:r>
      <w:r>
        <w:t xml:space="preserve">host OS.</w:t>
      </w:r>
    </w:p>
    <w:p>
      <w:pPr>
        <w:pStyle w:val="BodyText"/>
      </w:pPr>
      <w:r>
        <w:t xml:space="preserve">In VMware Workstation:</w:t>
      </w:r>
    </w:p>
    <w:p>
      <w:pPr>
        <w:numPr>
          <w:ilvl w:val="0"/>
          <w:numId w:val="1002"/>
        </w:numPr>
      </w:pPr>
      <w:r>
        <w:t xml:space="preserve">With the guest powered on, open</w:t>
      </w:r>
      <w:r>
        <w:t xml:space="preserve"> </w:t>
      </w:r>
      <w:r>
        <w:rPr>
          <w:b/>
          <w:bCs/>
        </w:rPr>
        <w:t xml:space="preserve">VM → Settings → USB Controller</w:t>
      </w:r>
      <w:r>
        <w:t xml:space="preserve">.</w:t>
      </w:r>
      <w:r>
        <w:t xml:space="preserve"> </w:t>
      </w:r>
      <w:r>
        <w:t xml:space="preserve">Confirm USB 3.0/3.1 compatibility is selected.</w:t>
      </w:r>
    </w:p>
    <w:p>
      <w:pPr>
        <w:numPr>
          <w:ilvl w:val="0"/>
          <w:numId w:val="1002"/>
        </w:numPr>
      </w:pPr>
      <w:r>
        <w:t xml:space="preserve">Plug in the JTAG cable. A toast notification appears in the guest</w:t>
      </w:r>
      <w:r>
        <w:t xml:space="preserve"> </w:t>
      </w:r>
      <w:r>
        <w:t xml:space="preserve">asking whether to connect the device.</w:t>
      </w:r>
    </w:p>
    <w:p>
      <w:pPr>
        <w:numPr>
          <w:ilvl w:val="0"/>
          <w:numId w:val="1002"/>
        </w:numPr>
      </w:pPr>
      <w:r>
        <w:t xml:space="preserve">Alternatively,</w:t>
      </w:r>
      <w:r>
        <w:t xml:space="preserve"> </w:t>
      </w:r>
      <w:r>
        <w:rPr>
          <w:b/>
          <w:bCs/>
        </w:rPr>
        <w:t xml:space="preserve">VM → Removable Devices → Digilent USB Device → Connect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Repeat for the UART cable (</w:t>
      </w:r>
      <w:r>
        <w:rPr>
          <w:rStyle w:val="VerbatimChar"/>
        </w:rPr>
        <w:t xml:space="preserve">CP2108 USB Composite Device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Inside the guest, verify</w:t>
      </w:r>
      <w:r>
        <w:t xml:space="preserve"> </w:t>
      </w:r>
      <w:r>
        <w:rPr>
          <w:rStyle w:val="VerbatimChar"/>
        </w:rPr>
        <w:t xml:space="preserve">lsusb</w:t>
      </w:r>
      <w:r>
        <w:t xml:space="preserve"> </w:t>
      </w:r>
      <w:r>
        <w:t xml:space="preserve">shows both devices: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Bus 002 Device 003: ID 0403:6014 Future Technology Devices International, Ltd FT232H</w:t>
      </w:r>
      <w:r>
        <w:br/>
      </w:r>
      <w:r>
        <w:rPr>
          <w:rStyle w:val="VerbatimChar"/>
        </w:rPr>
        <w:t xml:space="preserve">Bus 002 Device 004: ID 10c4:ea71 Silicon Labs CP2108 Quad UART Bridge</w:t>
      </w:r>
    </w:p>
    <w:p>
      <w:pPr>
        <w:pStyle w:val="FirstParagraph"/>
      </w:pPr>
      <w:r>
        <w:t xml:space="preserve">Known gotcha: if the board is powered off, the FT232H disappears from</w:t>
      </w:r>
      <w:r>
        <w:t xml:space="preserve"> </w:t>
      </w:r>
      <w:r>
        <w:t xml:space="preserve">USB enumeration entirely (it draws 3.3V from the board). Power the</w:t>
      </w:r>
      <w:r>
        <w:t xml:space="preserve"> </w:t>
      </w:r>
      <w:r>
        <w:t xml:space="preserve">board</w:t>
      </w:r>
      <w:r>
        <w:t xml:space="preserve"> </w:t>
      </w:r>
      <w:r>
        <w:rPr>
          <w:i/>
          <w:iCs/>
        </w:rPr>
        <w:t xml:space="preserve">first</w:t>
      </w:r>
      <w:r>
        <w:t xml:space="preserve">, then connect USB.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oject-repository-setup"/>
    <w:p>
      <w:pPr>
        <w:pStyle w:val="Heading2"/>
      </w:pPr>
      <w:r>
        <w:t xml:space="preserve">3. Project repository setup</w:t>
      </w:r>
    </w:p>
    <w:bookmarkStart w:id="22" w:name="clone"/>
    <w:p>
      <w:pPr>
        <w:pStyle w:val="Heading3"/>
      </w:pPr>
      <w:r>
        <w:t xml:space="preserve">3.1 Clone</w:t>
      </w:r>
    </w:p>
    <w:p>
      <w:pPr>
        <w:pStyle w:val="FirstParagraph"/>
      </w:pPr>
      <w:r>
        <w:t xml:space="preserve">The project lives at</w:t>
      </w:r>
      <w:r>
        <w:t xml:space="preserve"> </w:t>
      </w:r>
      <w:r>
        <w:rPr>
          <w:rStyle w:val="VerbatimChar"/>
        </w:rPr>
        <w:t xml:space="preserve">/home/kali/Desktop/research/JTAG</w:t>
      </w:r>
      <w:r>
        <w:t xml:space="preserve"> </w:t>
      </w:r>
      <w:r>
        <w:t xml:space="preserve">in this</w:t>
      </w:r>
      <w:r>
        <w:t xml:space="preserve"> </w:t>
      </w:r>
      <w:r>
        <w:t xml:space="preserve">deployment. Adjust paths for your environment.</w:t>
      </w:r>
    </w:p>
    <w:p>
      <w:pPr>
        <w:pStyle w:val="SourceCode"/>
      </w:pPr>
      <w:r>
        <w:rPr>
          <w:rStyle w:val="VerbatimChar"/>
        </w:rPr>
        <w:t xml:space="preserve">mkdir -p ~/Desktop/research</w:t>
      </w:r>
      <w:r>
        <w:br/>
      </w:r>
      <w:r>
        <w:rPr>
          <w:rStyle w:val="VerbatimChar"/>
        </w:rPr>
        <w:t xml:space="preserve">cd ~/Desktop/research</w:t>
      </w:r>
      <w:r>
        <w:br/>
      </w:r>
      <w:r>
        <w:rPr>
          <w:rStyle w:val="VerbatimChar"/>
        </w:rPr>
        <w:t xml:space="preserve"># Clone or copy the project tree here</w:t>
      </w:r>
    </w:p>
    <w:bookmarkEnd w:id="22"/>
    <w:bookmarkStart w:id="23" w:name="directory-layout"/>
    <w:p>
      <w:pPr>
        <w:pStyle w:val="Heading3"/>
      </w:pPr>
      <w:r>
        <w:t xml:space="preserve">3.2 Directory layout</w:t>
      </w:r>
    </w:p>
    <w:p>
      <w:pPr>
        <w:pStyle w:val="SourceCode"/>
      </w:pPr>
      <w:r>
        <w:rPr>
          <w:rStyle w:val="VerbatimChar"/>
        </w:rPr>
        <w:t xml:space="preserve">JTAG/</w:t>
      </w:r>
      <w:r>
        <w:br/>
      </w:r>
      <w:r>
        <w:rPr>
          <w:rStyle w:val="VerbatimChar"/>
        </w:rPr>
        <w:t xml:space="preserve">├── CLAUDE.md                              Project guide (status in MEMORY.md)</w:t>
      </w:r>
      <w:r>
        <w:br/>
      </w:r>
      <w:r>
        <w:rPr>
          <w:rStyle w:val="VerbatimChar"/>
        </w:rPr>
        <w:t xml:space="preserve">├── docs/                                  Documentation (start with README.md)</w:t>
      </w:r>
      <w:r>
        <w:br/>
      </w:r>
      <w:r>
        <w:rPr>
          <w:rStyle w:val="VerbatimChar"/>
        </w:rPr>
        <w:t xml:space="preserve">│   ├── README.md                            index</w:t>
      </w:r>
      <w:r>
        <w:br/>
      </w:r>
      <w:r>
        <w:rPr>
          <w:rStyle w:val="VerbatimChar"/>
        </w:rPr>
        <w:t xml:space="preserve">│   ├── 01..10*.md                           focused docs</w:t>
      </w:r>
      <w:r>
        <w:br/>
      </w:r>
      <w:r>
        <w:rPr>
          <w:rStyle w:val="VerbatimChar"/>
        </w:rPr>
        <w:t xml:space="preserve">│   ├── appendix-*.md</w:t>
      </w:r>
      <w:r>
        <w:br/>
      </w:r>
      <w:r>
        <w:rPr>
          <w:rStyle w:val="VerbatimChar"/>
        </w:rPr>
        <w:t xml:space="preserve">│   └── whitepaper/                          three-volume whitepaper series</w:t>
      </w:r>
      <w:r>
        <w:br/>
      </w:r>
      <w:r>
        <w:rPr>
          <w:rStyle w:val="VerbatimChar"/>
        </w:rPr>
        <w:t xml:space="preserve">│       ├── 01-foundation.{md,pdf,docx}</w:t>
      </w:r>
      <w:r>
        <w:br/>
      </w:r>
      <w:r>
        <w:rPr>
          <w:rStyle w:val="VerbatimChar"/>
        </w:rPr>
        <w:t xml:space="preserve">│       ├── 02-workflow.{md,pdf,docx}</w:t>
      </w:r>
      <w:r>
        <w:br/>
      </w:r>
      <w:r>
        <w:rPr>
          <w:rStyle w:val="VerbatimChar"/>
        </w:rPr>
        <w:t xml:space="preserve">│       ├── 03-enumeration-reveals.{md,pdf,docx}</w:t>
      </w:r>
      <w:r>
        <w:br/>
      </w:r>
      <w:r>
        <w:rPr>
          <w:rStyle w:val="VerbatimChar"/>
        </w:rPr>
        <w:t xml:space="preserve">│       ├── whitepaper-combined.pdf</w:t>
      </w:r>
      <w:r>
        <w:br/>
      </w:r>
      <w:r>
        <w:rPr>
          <w:rStyle w:val="VerbatimChar"/>
        </w:rPr>
        <w:t xml:space="preserve">│       ├── lab-setup.{md,pdf,docx}         (this document)</w:t>
      </w:r>
      <w:r>
        <w:br/>
      </w:r>
      <w:r>
        <w:rPr>
          <w:rStyle w:val="VerbatimChar"/>
        </w:rPr>
        <w:t xml:space="preserve">│       └── figures/                          Graphviz sources + PNGs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interpret.py                         capture JSON → findings markdown</w:t>
      </w:r>
      <w:r>
        <w:br/>
      </w:r>
      <w:r>
        <w:rPr>
          <w:rStyle w:val="VerbatimChar"/>
        </w:rPr>
        <w:t xml:space="preserve">│   ├── interpret_lib.py                     Capture / Annotation / Finding</w:t>
      </w:r>
      <w:r>
        <w:br/>
      </w:r>
      <w:r>
        <w:rPr>
          <w:rStyle w:val="VerbatimChar"/>
        </w:rPr>
        <w:t xml:space="preserve">│   ├── regenerate-qemu-regs.py              regenerate register library</w:t>
      </w:r>
      <w:r>
        <w:br/>
      </w:r>
      <w:r>
        <w:rPr>
          <w:rStyle w:val="VerbatimChar"/>
        </w:rPr>
        <w:t xml:space="preserve">│   ├── generate-mock-seed.py                raw JSON → mock harness seed</w:t>
      </w:r>
      <w:r>
        <w:br/>
      </w:r>
      <w:r>
        <w:rPr>
          <w:rStyle w:val="VerbatimChar"/>
        </w:rPr>
        <w:t xml:space="preserve">│   ├── check-annotations.py                 annotation-module self-test</w:t>
      </w:r>
      <w:r>
        <w:br/>
      </w:r>
      <w:r>
        <w:rPr>
          <w:rStyle w:val="VerbatimChar"/>
        </w:rPr>
        <w:t xml:space="preserve">│   ├── golden-test.sh                       interpret.py vs golden md</w:t>
      </w:r>
      <w:r>
        <w:br/>
      </w:r>
      <w:r>
        <w:rPr>
          <w:rStyle w:val="VerbatimChar"/>
        </w:rPr>
        <w:t xml:space="preserve">│   ├── golden-test-roundtrip.sh             enumerate.tcl via mock vs golden</w:t>
      </w:r>
      <w:r>
        <w:br/>
      </w:r>
      <w:r>
        <w:rPr>
          <w:rStyle w:val="VerbatimChar"/>
        </w:rPr>
        <w:t xml:space="preserve">│   └── tcl-smoketest.sh                     one-command 4-layer test suite</w:t>
      </w:r>
      <w:r>
        <w:br/>
      </w:r>
      <w:r>
        <w:rPr>
          <w:rStyle w:val="VerbatimChar"/>
        </w:rPr>
        <w:t xml:space="preserve">├── openocd/</w:t>
      </w:r>
      <w:r>
        <w:br/>
      </w:r>
      <w:r>
        <w:rPr>
          <w:rStyle w:val="VerbatimChar"/>
        </w:rPr>
        <w:t xml:space="preserve">│   ├── zcu102.cfg                           manual board config</w:t>
      </w:r>
      <w:r>
        <w:br/>
      </w:r>
      <w:r>
        <w:rPr>
          <w:rStyle w:val="VerbatimChar"/>
        </w:rPr>
        <w:t xml:space="preserve">│   ├── enumerate.tcl                        main enumeration script (18 sections)</w:t>
      </w:r>
      <w:r>
        <w:br/>
      </w:r>
      <w:r>
        <w:rPr>
          <w:rStyle w:val="VerbatimChar"/>
        </w:rPr>
        <w:t xml:space="preserve">│   ├── discover.tcl                         first-contact chain probe</w:t>
      </w:r>
      <w:r>
        <w:br/>
      </w:r>
      <w:r>
        <w:rPr>
          <w:rStyle w:val="VerbatimChar"/>
        </w:rPr>
        <w:t xml:space="preserve">│   └── lib/                                  shared Tcl libraries (incl. mock-openocd.tcl)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annotations/zynqmp_{security,general}.py    field annotations</w:t>
      </w:r>
      <w:r>
        <w:br/>
      </w:r>
      <w:r>
        <w:rPr>
          <w:rStyle w:val="VerbatimChar"/>
        </w:rPr>
        <w:t xml:space="preserve">│   └── findings/zynqmp_rules.py                    cross-register rules</w:t>
      </w:r>
      <w:r>
        <w:br/>
      </w:r>
      <w:r>
        <w:rPr>
          <w:rStyle w:val="VerbatimChar"/>
        </w:rPr>
        <w:t xml:space="preserve">├── reports/                                  enumeration reports (timestamped)</w:t>
      </w:r>
      <w:r>
        <w:br/>
      </w:r>
      <w:r>
        <w:rPr>
          <w:rStyle w:val="VerbatimChar"/>
        </w:rPr>
        <w:t xml:space="preserve">├── tests/golden/zcu102-jtag-idle/            frozen test fixtures</w:t>
      </w:r>
      <w:r>
        <w:br/>
      </w:r>
      <w:r>
        <w:rPr>
          <w:rStyle w:val="VerbatimChar"/>
        </w:rPr>
        <w:t xml:space="preserve">└── logs/                                     serial captures</w:t>
      </w:r>
    </w:p>
    <w:bookmarkEnd w:id="23"/>
    <w:bookmarkStart w:id="24" w:name="first-time-verification"/>
    <w:p>
      <w:pPr>
        <w:pStyle w:val="Heading3"/>
      </w:pPr>
      <w:r>
        <w:t xml:space="preserve">3.3 First-time verification</w:t>
      </w:r>
    </w:p>
    <w:p>
      <w:pPr>
        <w:pStyle w:val="FirstParagraph"/>
      </w:pPr>
      <w:r>
        <w:t xml:space="preserve">After install, confirm everything works without the board attached:</w:t>
      </w:r>
    </w:p>
    <w:p>
      <w:pPr>
        <w:pStyle w:val="SourceCode"/>
      </w:pPr>
      <w:r>
        <w:rPr>
          <w:rStyle w:val="VerbatimChar"/>
        </w:rPr>
        <w:t xml:space="preserve">cd ~/Desktop/research/JTAG</w:t>
      </w:r>
      <w:r>
        <w:br/>
      </w:r>
      <w:r>
        <w:rPr>
          <w:rStyle w:val="VerbatimChar"/>
        </w:rPr>
        <w:t xml:space="preserve">./tools/tcl-smoketest.sh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PASS: enumerate.tcl parses and runs end-to-end under stubs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Summary: 2 verified, 0 unverifiable, 4 discrepancies</w:t>
      </w:r>
      <w:r>
        <w:br/>
      </w:r>
      <w:r>
        <w:rPr>
          <w:rStyle w:val="VerbatimChar"/>
        </w:rPr>
        <w:t xml:space="preserve">                                       (CRITICAL=0 MAJOR=4 MINOR=0 INFO=0)</w:t>
      </w:r>
    </w:p>
    <w:p>
      <w:pPr>
        <w:pStyle w:val="FirstParagraph"/>
      </w:pPr>
      <w:r>
        <w:t xml:space="preserve">The 4 MAJOR findings are on</w:t>
      </w:r>
      <w:r>
        <w:t xml:space="preserve"> </w:t>
      </w:r>
      <w:r>
        <w:rPr>
          <w:rStyle w:val="VerbatimChar"/>
        </w:rPr>
        <w:t xml:space="preserve">CSU_IDCODE</w:t>
      </w:r>
      <w:r>
        <w:t xml:space="preserve"> </w:t>
      </w:r>
      <w:r>
        <w:t xml:space="preserve">(IEEE 1149.1 standard fields,</w:t>
      </w:r>
      <w:r>
        <w:t xml:space="preserve"> </w:t>
      </w:r>
      <w:r>
        <w:t xml:space="preserve">known acceptable — see Volume 2 §1.4 for context).</w:t>
      </w:r>
    </w:p>
    <w:bookmarkEnd w:id="24"/>
    <w:bookmarkStart w:id="25" w:name="first-time-live-verification"/>
    <w:p>
      <w:pPr>
        <w:pStyle w:val="Heading3"/>
      </w:pPr>
      <w:r>
        <w:t xml:space="preserve">3.4 First-time live verification</w:t>
      </w:r>
    </w:p>
    <w:p>
      <w:pPr>
        <w:pStyle w:val="FirstParagraph"/>
      </w:pPr>
      <w:r>
        <w:t xml:space="preserve">With the board powered and USB passed through:</w:t>
      </w:r>
    </w:p>
    <w:p>
      <w:pPr>
        <w:pStyle w:val="SourceCode"/>
      </w:pPr>
      <w:r>
        <w:rPr>
          <w:rStyle w:val="VerbatimChar"/>
        </w:rPr>
        <w:t xml:space="preserve"># Optional: confirm the JTAG chain matches expectation</w:t>
      </w:r>
      <w:r>
        <w:br/>
      </w:r>
      <w:r>
        <w:rPr>
          <w:rStyle w:val="VerbatimChar"/>
        </w:rPr>
        <w:t xml:space="preserve">openocd -f openocd/zcu102.cfg -c "init; source openocd/discover.tcl; shutdown"</w:t>
      </w:r>
      <w:r>
        <w:br/>
      </w:r>
      <w:r>
        <w:rPr>
          <w:rStyle w:val="VerbatimChar"/>
        </w:rPr>
        <w:t xml:space="preserve"># Capture</w:t>
      </w:r>
      <w:r>
        <w:br/>
      </w:r>
      <w:r>
        <w:rPr>
          <w:rStyle w:val="VerbatimChar"/>
        </w:rPr>
        <w:t xml:space="preserve">openocd -f openocd/zcu102.cfg -c "init; source openocd/enumerate.tcl; shutdown"</w:t>
      </w:r>
    </w:p>
    <w:p>
      <w:pPr>
        <w:pStyle w:val="FirstParagraph"/>
      </w:pPr>
      <w:r>
        <w:t xml:space="preserve">Expected: a markdown report appears in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and §2 of the</w:t>
      </w:r>
      <w:r>
        <w:t xml:space="preserve"> </w:t>
      </w:r>
      <w:r>
        <w:t xml:space="preserve">report identifies the chip as</w:t>
      </w:r>
      <w:r>
        <w:t xml:space="preserve"> </w:t>
      </w:r>
      <w:r>
        <w:rPr>
          <w:rStyle w:val="VerbatimChar"/>
        </w:rPr>
        <w:t xml:space="preserve">XCZU9 (EG/CG)</w:t>
      </w:r>
      <w:r>
        <w:t xml:space="preserve"> </w:t>
      </w:r>
      <w:r>
        <w:t xml:space="preserve">(or whatever variant</w:t>
      </w:r>
      <w:r>
        <w:t xml:space="preserve"> </w:t>
      </w:r>
      <w:r>
        <w:t xml:space="preserve">your board uses).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958c13833e1a5200b9ef4a22ae29c26aaabc5e6"/>
    <w:p>
      <w:pPr>
        <w:pStyle w:val="Heading2"/>
      </w:pPr>
      <w:r>
        <w:t xml:space="preserve">4. Test architecture — how changes are validated</w:t>
      </w:r>
    </w:p>
    <w:p>
      <w:pPr>
        <w:pStyle w:val="FirstParagraph"/>
      </w:pPr>
      <w:r>
        <w:t xml:space="preserve">The enumeration tooling enforces a gating workflow for any change to</w:t>
      </w:r>
      <w:r>
        <w:t xml:space="preserve"> </w:t>
      </w:r>
      <w:r>
        <w:t xml:space="preserve">the enumeration script or its libraries. This catches bug classes</w:t>
      </w:r>
      <w:r>
        <w:t xml:space="preserve"> </w:t>
      </w:r>
      <w:r>
        <w:t xml:space="preserve">that have repeatedly bitten this project: hand-typed bit fields</w:t>
      </w:r>
      <w:r>
        <w:t xml:space="preserve"> </w:t>
      </w:r>
      <w:r>
        <w:t xml:space="preserve">drifting from silicon truth, Tcl bracket-in-string substitution,</w:t>
      </w:r>
      <w:r>
        <w:t xml:space="preserve"> </w:t>
      </w:r>
      <w:r>
        <w:t xml:space="preserve">register-name collisions at coincidental addresses.</w:t>
      </w:r>
    </w:p>
    <w:p>
      <w:pPr>
        <w:pStyle w:val="CaptionedFigure"/>
      </w:pPr>
      <w:r>
        <w:drawing>
          <wp:inline>
            <wp:extent cx="5334000" cy="7276220"/>
            <wp:effectExtent b="0" l="0" r="0" t="0"/>
            <wp:docPr descr="Validation gates: edit → static → smoke → audit → live test → diff → commit" title="" id="28" name="Picture"/>
            <a:graphic>
              <a:graphicData uri="http://schemas.openxmlformats.org/drawingml/2006/picture">
                <pic:pic>
                  <pic:nvPicPr>
                    <pic:cNvPr descr="figures/lab-02-test-architectur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gates: edit → static → smoke → audit → live test → diff → commit</w:t>
      </w:r>
    </w:p>
    <w:bookmarkStart w:id="30" w:name="gate-1-static-check"/>
    <w:p>
      <w:pPr>
        <w:pStyle w:val="Heading3"/>
      </w:pPr>
      <w:r>
        <w:t xml:space="preserve">4.1 Gate 1 — static check</w:t>
      </w:r>
    </w:p>
    <w:p>
      <w:pPr>
        <w:pStyle w:val="FirstParagraph"/>
      </w:pPr>
      <w:r>
        <w:rPr>
          <w:rStyle w:val="VerbatimChar"/>
        </w:rPr>
        <w:t xml:space="preserve">tools/tcl-smoketest.sh</w:t>
      </w:r>
      <w:r>
        <w:t xml:space="preserve"> </w:t>
      </w:r>
      <w:r>
        <w:t xml:space="preserve">scans</w:t>
      </w:r>
      <w:r>
        <w:t xml:space="preserve"> </w:t>
      </w:r>
      <w:r>
        <w:rPr>
          <w:rStyle w:val="VerbatimChar"/>
        </w:rPr>
        <w:t xml:space="preserve">openocd/enumerate.tcl</w:t>
      </w:r>
      <w:r>
        <w:t xml:space="preserve"> </w:t>
      </w:r>
      <w:r>
        <w:t xml:space="preserve">for the</w:t>
      </w:r>
      <w:r>
        <w:t xml:space="preserve"> </w:t>
      </w:r>
      <w:r>
        <w:t xml:space="preserve">bracket-in-string pattern that has caused mid-script crashes in past</w:t>
      </w:r>
      <w:r>
        <w:t xml:space="preserve"> </w:t>
      </w:r>
      <w:r>
        <w:t xml:space="preserve">versions:</w:t>
      </w:r>
    </w:p>
    <w:p>
      <w:pPr>
        <w:pStyle w:val="SourceCode"/>
      </w:pPr>
      <w:r>
        <w:rPr>
          <w:rStyle w:val="VerbatimChar"/>
        </w:rPr>
        <w:t xml:space="preserve">"...field-name[N:M]..."</w:t>
      </w:r>
    </w:p>
    <w:p>
      <w:pPr>
        <w:pStyle w:val="FirstParagraph"/>
      </w:pPr>
      <w:r>
        <w:t xml:space="preserve">inside a</w:t>
      </w:r>
      <w:r>
        <w:t xml:space="preserve"> </w:t>
      </w:r>
      <w:r>
        <w:rPr>
          <w:rStyle w:val="VerbatimChar"/>
        </w:rPr>
        <w:t xml:space="preserve">[list 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[lappend 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[format ...]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[expr ...]</w:t>
      </w:r>
      <w:r>
        <w:t xml:space="preserve"> </w:t>
      </w:r>
      <w:r>
        <w:t xml:space="preserve">context. Tcl interprets</w:t>
      </w:r>
      <w:r>
        <w:t xml:space="preserve"> </w:t>
      </w:r>
      <w:r>
        <w:rPr>
          <w:rStyle w:val="VerbatimChar"/>
        </w:rPr>
        <w:t xml:space="preserve">[N:M]</w:t>
      </w:r>
      <w:r>
        <w:t xml:space="preserve"> </w:t>
      </w:r>
      <w:r>
        <w:t xml:space="preserve">as command substitution</w:t>
      </w:r>
      <w:r>
        <w:t xml:space="preserve"> </w:t>
      </w:r>
      <w:r>
        <w:t xml:space="preserve">and fails when</w:t>
      </w:r>
      <w:r>
        <w:t xml:space="preserve"> </w:t>
      </w:r>
      <w:r>
        <w:t xml:space="preserve">“N:M”</w:t>
      </w:r>
      <w:r>
        <w:t xml:space="preserve"> </w:t>
      </w:r>
      <w:r>
        <w:t xml:space="preserve">isn’t a valid command. The static check</w:t>
      </w:r>
      <w:r>
        <w:t xml:space="preserve"> </w:t>
      </w:r>
      <w:r>
        <w:t xml:space="preserve">prevents this from reaching a live run.</w:t>
      </w:r>
    </w:p>
    <w:bookmarkEnd w:id="30"/>
    <w:bookmarkStart w:id="31" w:name="gate-2-dynamic-smoke-test"/>
    <w:p>
      <w:pPr>
        <w:pStyle w:val="Heading3"/>
      </w:pPr>
      <w:r>
        <w:t xml:space="preserve">4.2 Gate 2 — dynamic smoke test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tcl-smoketest.sh</w:t>
      </w:r>
      <w:r>
        <w:t xml:space="preserve"> </w:t>
      </w:r>
      <w:r>
        <w:t xml:space="preserve">stubs every OpenOCD-specific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targets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safe_rd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safe_wr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halt</w:t>
      </w:r>
      <w:r>
        <w:t xml:space="preserve">, etc.) and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enumerate.tcl</w:t>
      </w:r>
      <w:r>
        <w:t xml:space="preserve"> </w:t>
      </w:r>
      <w:r>
        <w:t xml:space="preserve">end-to-end under</w:t>
      </w:r>
      <w:r>
        <w:t xml:space="preserve"> </w:t>
      </w:r>
      <w:r>
        <w:rPr>
          <w:rStyle w:val="VerbatimChar"/>
        </w:rPr>
        <w:t xml:space="preserve">tclsh</w:t>
      </w:r>
      <w:r>
        <w:t xml:space="preserve">. Any uncaught Tcl</w:t>
      </w:r>
      <w:r>
        <w:t xml:space="preserve"> </w:t>
      </w:r>
      <w:r>
        <w:t xml:space="preserve">error fails the test.</w:t>
      </w:r>
    </w:p>
    <w:p>
      <w:pPr>
        <w:pStyle w:val="BodyText"/>
      </w:pPr>
      <w:r>
        <w:t xml:space="preserve">This catches:</w:t>
      </w:r>
    </w:p>
    <w:p>
      <w:pPr>
        <w:pStyle w:val="Compact"/>
        <w:numPr>
          <w:ilvl w:val="0"/>
          <w:numId w:val="1003"/>
        </w:numPr>
      </w:pPr>
      <w:r>
        <w:t xml:space="preserve">Tcl syntax errors (unclosed braces, malformed</w:t>
      </w:r>
      <w:r>
        <w:t xml:space="preserve"> </w:t>
      </w:r>
      <w:r>
        <w:rPr>
          <w:rStyle w:val="VerbatimChar"/>
        </w:rPr>
        <w:t xml:space="preserve">expr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Undefined-variable references</w:t>
      </w:r>
    </w:p>
    <w:p>
      <w:pPr>
        <w:pStyle w:val="Compact"/>
        <w:numPr>
          <w:ilvl w:val="0"/>
          <w:numId w:val="1003"/>
        </w:numPr>
      </w:pPr>
      <w:r>
        <w:t xml:space="preserve">Bad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lists</w:t>
      </w:r>
    </w:p>
    <w:p>
      <w:pPr>
        <w:pStyle w:val="Compact"/>
        <w:numPr>
          <w:ilvl w:val="0"/>
          <w:numId w:val="1003"/>
        </w:numPr>
      </w:pPr>
      <w:r>
        <w:t xml:space="preserve">The bracket-in-string bugs that the static check missed</w:t>
      </w:r>
    </w:p>
    <w:p>
      <w:pPr>
        <w:pStyle w:val="FirstParagraph"/>
      </w:pPr>
      <w:r>
        <w:t xml:space="preserve">Runs in under a second, no board needed.</w:t>
      </w:r>
    </w:p>
    <w:bookmarkEnd w:id="31"/>
    <w:bookmarkStart w:id="32" w:name="X8132fd5b563600f85712b79fecdf800472e43f5"/>
    <w:p>
      <w:pPr>
        <w:pStyle w:val="Heading3"/>
      </w:pPr>
      <w:r>
        <w:t xml:space="preserve">4.3 Gate 3 — register-layout consistency (built into the script)</w:t>
      </w:r>
    </w:p>
    <w:p>
      <w:pPr>
        <w:pStyle w:val="FirstParagraph"/>
      </w:pPr>
      <w:r>
        <w:t xml:space="preserve">Bit-layout consistency is no longer a separate audit step — it’s</w:t>
      </w:r>
      <w:r>
        <w:t xml:space="preserve"> </w:t>
      </w:r>
      <w:r>
        <w:t xml:space="preserve">structural. Every register read in</w:t>
      </w:r>
      <w:r>
        <w:t xml:space="preserve"> </w:t>
      </w:r>
      <w:r>
        <w:rPr>
          <w:rStyle w:val="VerbatimChar"/>
        </w:rPr>
        <w:t xml:space="preserve">enumerate.tcl</w:t>
      </w:r>
      <w:r>
        <w:t xml:space="preserve"> </w:t>
      </w:r>
      <w:r>
        <w:t xml:space="preserve">goes through</w:t>
      </w:r>
      <w:r>
        <w:t xml:space="preserve"> </w:t>
      </w:r>
      <w:r>
        <w:rPr>
          <w:rStyle w:val="VerbatimChar"/>
        </w:rPr>
        <w:t xml:space="preserve">dump_reg_qemu &lt;ADDR&gt;</w:t>
      </w:r>
      <w:r>
        <w:t xml:space="preserve">, which looks up bit fields directly from</w:t>
      </w:r>
      <w:r>
        <w:t xml:space="preserve"> </w:t>
      </w:r>
      <w:r>
        <w:rPr>
          <w:rStyle w:val="VerbatimChar"/>
        </w:rPr>
        <w:t xml:space="preserve">openocd/lib/zynqmp-regs-qemu.tcl</w:t>
      </w:r>
      <w:r>
        <w:t xml:space="preserve"> </w:t>
      </w:r>
      <w:r>
        <w:t xml:space="preserve">(auto-generated by</w:t>
      </w:r>
      <w:r>
        <w:t xml:space="preserve"> </w:t>
      </w:r>
      <w:r>
        <w:rPr>
          <w:rStyle w:val="VerbatimChar"/>
        </w:rPr>
        <w:t xml:space="preserve">tools/regenerate-qemu-regs.py</w:t>
      </w:r>
      <w:r>
        <w:t xml:space="preserve"> </w:t>
      </w:r>
      <w:r>
        <w:t xml:space="preserve">from QEMU C sources). There is no</w:t>
      </w:r>
      <w:r>
        <w:t xml:space="preserve"> </w:t>
      </w:r>
      <w:r>
        <w:t xml:space="preserve">hand-typed bit position anywhere in the capture path, so drift between</w:t>
      </w:r>
      <w:r>
        <w:t xml:space="preserve"> </w:t>
      </w:r>
      <w:r>
        <w:t xml:space="preserve">the script and QEMU’s model is structurally impossible.</w:t>
      </w:r>
    </w:p>
    <w:p>
      <w:pPr>
        <w:pStyle w:val="BodyText"/>
      </w:pPr>
      <w:r>
        <w:t xml:space="preserve">The standalone audit tool that previously cross-checked hand-typed</w:t>
      </w:r>
      <w:r>
        <w:t xml:space="preserve"> </w:t>
      </w:r>
      <w:r>
        <w:rPr>
          <w:rStyle w:val="VerbatimChar"/>
        </w:rPr>
        <w:t xml:space="preserve">dump_reg</w:t>
      </w:r>
      <w:r>
        <w:t xml:space="preserve"> </w:t>
      </w:r>
      <w:r>
        <w:t xml:space="preserve">calls (</w:t>
      </w:r>
      <w:r>
        <w:rPr>
          <w:rStyle w:val="VerbatimChar"/>
        </w:rPr>
        <w:t xml:space="preserve">tools/audit-bit-layouts.py</w:t>
      </w:r>
      <w:r>
        <w:t xml:space="preserve">) was retired in the</w:t>
      </w:r>
      <w:r>
        <w:t xml:space="preserve"> </w:t>
      </w:r>
      <w:r>
        <w:t xml:space="preserve">May 2026 cleanup because it had nothing to audit — all sites</w:t>
      </w:r>
      <w:r>
        <w:t xml:space="preserve"> </w:t>
      </w:r>
      <w:r>
        <w:t xml:space="preserve">delegate to QEMU.</w:t>
      </w:r>
    </w:p>
    <w:p>
      <w:pPr>
        <w:pStyle w:val="BodyText"/>
      </w:pPr>
      <w:r>
        <w:t xml:space="preserve">What replaces it: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tools/check-annotations.py</w:t>
      </w:r>
      <w:r>
        <w:t xml:space="preserve"> </w:t>
      </w:r>
      <w:r>
        <w:t xml:space="preserve">— sanity check for the annotation</w:t>
      </w:r>
      <w:r>
        <w:t xml:space="preserve"> </w:t>
      </w:r>
      <w:r>
        <w:t xml:space="preserve">modules: every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(register, field)</w:t>
      </w:r>
      <w:r>
        <w:t xml:space="preserve"> </w:t>
      </w:r>
      <w:r>
        <w:t xml:space="preserve">pair must resolve</w:t>
      </w:r>
      <w:r>
        <w:t xml:space="preserve"> </w:t>
      </w:r>
      <w:r>
        <w:t xml:space="preserve">to a real register in</w:t>
      </w:r>
      <w:r>
        <w:t xml:space="preserve"> </w:t>
      </w:r>
      <w:r>
        <w:rPr>
          <w:rStyle w:val="VerbatimChar"/>
        </w:rPr>
        <w:t xml:space="preserve">zynqmp-regs-qemu.tcl</w:t>
      </w:r>
      <w:r>
        <w:t xml:space="preserve">; wildcards (</w:t>
      </w:r>
      <w:r>
        <w:rPr>
          <w:rStyle w:val="VerbatimChar"/>
        </w:rPr>
        <w:t xml:space="preserve">register="*"</w:t>
      </w:r>
      <w:r>
        <w:t xml:space="preserve">)</w:t>
      </w:r>
      <w:r>
        <w:t xml:space="preserve"> </w:t>
      </w:r>
      <w:r>
        <w:t xml:space="preserve">must match at least one register; no duplicates.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tools/golden-test.sh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tools/golden-test-roundtrip.sh</w:t>
      </w:r>
      <w:r>
        <w:t xml:space="preserve"> </w:t>
      </w:r>
      <w:r>
        <w:t xml:space="preserve">— diff</w:t>
      </w:r>
      <w:r>
        <w:t xml:space="preserve"> </w:t>
      </w:r>
      <w:r>
        <w:t xml:space="preserve">produced output against frozen golden artifacts (raw JSON, raw</w:t>
      </w:r>
      <w:r>
        <w:t xml:space="preserve"> </w:t>
      </w:r>
      <w:r>
        <w:t xml:space="preserve">markdown, interpreted markdown). Either drift fires a test failure.</w:t>
      </w:r>
    </w:p>
    <w:p>
      <w:pPr>
        <w:pStyle w:val="Compact"/>
        <w:numPr>
          <w:ilvl w:val="0"/>
          <w:numId w:val="1004"/>
        </w:numPr>
      </w:pPr>
      <w:r>
        <w:t xml:space="preserve">All three gates run from</w:t>
      </w:r>
      <w:r>
        <w:t xml:space="preserve"> </w:t>
      </w:r>
      <w:r>
        <w:rPr>
          <w:rStyle w:val="VerbatimChar"/>
        </w:rPr>
        <w:t xml:space="preserve">./tools/tcl-smoketest.sh</w:t>
      </w:r>
      <w:r>
        <w:t xml:space="preserve">.</w:t>
      </w:r>
    </w:p>
    <w:p>
      <w:pPr>
        <w:pStyle w:val="FirstParagraph"/>
      </w:pPr>
      <w:r>
        <w:t xml:space="preserve">Earlier discrepancy categories (kept for historical context):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Field placed at wrong bit position OR register at wrong address (different register lives there in QEMU)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Field name doesn’t match QEMU’s at that bit position; phantom field that doesn’t exist in QEMU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Script omits a field QEMU has at that bit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Naming-style differences (e.g.,</w:t>
            </w:r>
            <w:r>
              <w:t xml:space="preserve"> </w:t>
            </w:r>
            <w:r>
              <w:rPr>
                <w:rStyle w:val="VerbatimChar"/>
              </w:rPr>
              <w:t xml:space="preserve">AES_RDLK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AES_RD_LOCK</w:t>
            </w:r>
            <w:r>
              <w:t xml:space="preserve">) — same field, different abbreviation</w:t>
            </w:r>
          </w:p>
        </w:tc>
      </w:tr>
    </w:tbl>
    <w:p>
      <w:pPr>
        <w:pStyle w:val="BodyText"/>
      </w:pPr>
      <w:r>
        <w:t xml:space="preserve">The audit currently shows 0 CRITICAL, 4 MAJOR (all known-acceptable</w:t>
      </w:r>
      <w:r>
        <w:t xml:space="preserve"> </w:t>
      </w:r>
      <w:r>
        <w:t xml:space="preserve">IEEE 1149.1 standard fields on</w:t>
      </w:r>
      <w:r>
        <w:t xml:space="preserve"> </w:t>
      </w:r>
      <w:r>
        <w:rPr>
          <w:rStyle w:val="VerbatimChar"/>
        </w:rPr>
        <w:t xml:space="preserve">CSU_IDCODE</w:t>
      </w:r>
      <w:r>
        <w:t xml:space="preserve">), 0 MINOR, 0 INFO. Any</w:t>
      </w:r>
      <w:r>
        <w:t xml:space="preserve"> </w:t>
      </w:r>
      <w:r>
        <w:t xml:space="preserve">new CRITICAL or MAJOR introduced by a change must be resolved before</w:t>
      </w:r>
      <w:r>
        <w:t xml:space="preserve"> </w:t>
      </w:r>
      <w:r>
        <w:t xml:space="preserve">the change merges.</w:t>
      </w:r>
    </w:p>
    <w:p>
      <w:pPr>
        <w:pStyle w:val="BodyText"/>
      </w:pPr>
      <w:r>
        <w:t xml:space="preserve">The audit also has an</w:t>
      </w:r>
      <w:r>
        <w:t xml:space="preserve"> </w:t>
      </w:r>
      <w:r>
        <w:rPr>
          <w:rStyle w:val="VerbatimChar"/>
        </w:rPr>
        <w:t xml:space="preserve">--address-only</w:t>
      </w:r>
      <w:r>
        <w:t xml:space="preserve"> </w:t>
      </w:r>
      <w:r>
        <w:t xml:space="preserve">mode that runs faster and</w:t>
      </w:r>
      <w:r>
        <w:t xml:space="preserve"> </w:t>
      </w:r>
      <w:r>
        <w:t xml:space="preserve">only verifies register name matches at each address — useful for</w:t>
      </w:r>
      <w:r>
        <w:t xml:space="preserve"> </w:t>
      </w:r>
      <w:r>
        <w:t xml:space="preserve">catching coincidental-address bugs (the script names register X at</w:t>
      </w:r>
      <w:r>
        <w:t xml:space="preserve"> </w:t>
      </w:r>
      <w:r>
        <w:t xml:space="preserve">address A, but QEMU has register Y at A).</w:t>
      </w:r>
    </w:p>
    <w:bookmarkEnd w:id="32"/>
    <w:bookmarkStart w:id="33" w:name="gate-4-live-test-on-hardware"/>
    <w:p>
      <w:pPr>
        <w:pStyle w:val="Heading3"/>
      </w:pPr>
      <w:r>
        <w:t xml:space="preserve">4.4 Gate 4 — live test on hardware</w:t>
      </w:r>
    </w:p>
    <w:p>
      <w:pPr>
        <w:pStyle w:val="FirstParagraph"/>
      </w:pPr>
      <w:r>
        <w:t xml:space="preserve">Once the offline gates pass, run the script on the ZCU102:</w:t>
      </w:r>
    </w:p>
    <w:p>
      <w:pPr>
        <w:pStyle w:val="SourceCode"/>
      </w:pPr>
      <w:r>
        <w:rPr>
          <w:rStyle w:val="VerbatimChar"/>
        </w:rPr>
        <w:t xml:space="preserve">openocd -f openocd/zcu102.cfg -c "init; source openocd/enumerate.tcl"</w:t>
      </w:r>
    </w:p>
    <w:p>
      <w:pPr>
        <w:pStyle w:val="FirstParagraph"/>
      </w:pPr>
      <w:r>
        <w:t xml:space="preserve">The script’s cleanup re-asserts A53 reset at the end of each run, so</w:t>
      </w:r>
      <w:r>
        <w:t xml:space="preserve"> </w:t>
      </w:r>
      <w:r>
        <w:t xml:space="preserve">consecutive runs on the same boot session work without a power</w:t>
      </w:r>
      <w:r>
        <w:t xml:space="preserve"> </w:t>
      </w:r>
      <w:r>
        <w:t xml:space="preserve">cycle.</w:t>
      </w:r>
    </w:p>
    <w:bookmarkEnd w:id="33"/>
    <w:bookmarkStart w:id="34" w:name="gate-5-diff-against-baseline-report"/>
    <w:p>
      <w:pPr>
        <w:pStyle w:val="Heading3"/>
      </w:pPr>
      <w:r>
        <w:t xml:space="preserve">4.5 Gate 5 — diff against baseline report</w:t>
      </w:r>
    </w:p>
    <w:p>
      <w:pPr>
        <w:pStyle w:val="FirstParagraph"/>
      </w:pPr>
      <w:r>
        <w:t xml:space="preserve">After a live run, compare the new report against a saved baseline:</w:t>
      </w:r>
    </w:p>
    <w:p>
      <w:pPr>
        <w:pStyle w:val="SourceCode"/>
      </w:pPr>
      <w:r>
        <w:rPr>
          <w:rStyle w:val="VerbatimChar"/>
        </w:rPr>
        <w:t xml:space="preserve">diff -u reports/enumerate-&lt;known-good-timestamp&gt;.md \</w:t>
      </w:r>
      <w:r>
        <w:br/>
      </w:r>
      <w:r>
        <w:rPr>
          <w:rStyle w:val="VerbatimChar"/>
        </w:rPr>
        <w:t xml:space="preserve">        reports/enumerate-&lt;new-timestamp&gt;.md | less</w:t>
      </w:r>
    </w:p>
    <w:p>
      <w:pPr>
        <w:pStyle w:val="FirstParagraph"/>
      </w:pPr>
      <w:r>
        <w:t xml:space="preserve">The reports have stable structure so meaningful changes appear as</w:t>
      </w:r>
      <w:r>
        <w:t xml:space="preserve"> </w:t>
      </w:r>
      <w:r>
        <w:t xml:space="preserve">specific register-value or findings-text deltas, not noise.</w:t>
      </w:r>
    </w:p>
    <w:p>
      <w:pPr>
        <w:pStyle w:val="BodyText"/>
      </w:pPr>
      <w:r>
        <w:t xml:space="preserve">Confirm:</w:t>
      </w:r>
    </w:p>
    <w:p>
      <w:pPr>
        <w:pStyle w:val="Compact"/>
        <w:numPr>
          <w:ilvl w:val="0"/>
          <w:numId w:val="1005"/>
        </w:numPr>
      </w:pPr>
      <w:r>
        <w:t xml:space="preserve">Section §2 still identifies the correct variant</w:t>
      </w:r>
    </w:p>
    <w:p>
      <w:pPr>
        <w:pStyle w:val="Compact"/>
        <w:numPr>
          <w:ilvl w:val="0"/>
          <w:numId w:val="1005"/>
        </w:numPr>
      </w:pPr>
      <w:r>
        <w:t xml:space="preserve">Section §4 findings interpretations are consistent with the</w:t>
      </w:r>
      <w:r>
        <w:t xml:space="preserve"> </w:t>
      </w:r>
      <w:r>
        <w:t xml:space="preserve">observed register values (e.g., if</w:t>
      </w:r>
      <w:r>
        <w:t xml:space="preserve"> </w:t>
      </w:r>
      <w:r>
        <w:rPr>
          <w:rStyle w:val="VerbatimChar"/>
        </w:rPr>
        <w:t xml:space="preserve">JTAG_DAP_CFG.SPIDEN = 1</w:t>
      </w:r>
      <w:r>
        <w:t xml:space="preserve">, the</w:t>
      </w:r>
      <w:r>
        <w:t xml:space="preserve"> </w:t>
      </w:r>
      <w:r>
        <w:t xml:space="preserve">findings text says</w:t>
      </w:r>
      <w:r>
        <w:t xml:space="preserve"> </w:t>
      </w:r>
      <w:r>
        <w:t xml:space="preserve">“WIDE OPEN — secure-world debug enabled”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No new unexpected</w:t>
      </w:r>
      <w:r>
        <w:t xml:space="preserve"> </w:t>
      </w:r>
      <w:r>
        <w:rPr>
          <w:rStyle w:val="VerbatimChar"/>
        </w:rPr>
        <w:t xml:space="preserve">ERR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values in late sections</w:t>
      </w:r>
    </w:p>
    <w:p>
      <w:pPr>
        <w:pStyle w:val="FirstParagraph"/>
      </w:pPr>
      <w:r>
        <w:t xml:space="preserve">If diffs make sense, commit the change.</w:t>
      </w:r>
    </w:p>
    <w:bookmarkEnd w:id="34"/>
    <w:bookmarkStart w:id="35" w:name="why-the-gates-exist"/>
    <w:p>
      <w:pPr>
        <w:pStyle w:val="Heading3"/>
      </w:pPr>
      <w:r>
        <w:t xml:space="preserve">4.6 Why the gates exist</w:t>
      </w:r>
    </w:p>
    <w:p>
      <w:pPr>
        <w:pStyle w:val="FirstParagraph"/>
      </w:pPr>
      <w:r>
        <w:t xml:space="preserve">The gates aren’t bureaucracy — they exist because each one has</w:t>
      </w:r>
      <w:r>
        <w:t xml:space="preserve"> </w:t>
      </w:r>
      <w:r>
        <w:t xml:space="preserve">caught a real bug in the project history: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Static check</w:t>
      </w:r>
      <w:r>
        <w:t xml:space="preserve">: caught at least three independent bracket-in-string</w:t>
      </w:r>
      <w:r>
        <w:t xml:space="preserve"> </w:t>
      </w:r>
      <w:r>
        <w:t xml:space="preserve">bugs during whitepaper-era editing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Smoke test</w:t>
      </w:r>
      <w:r>
        <w:t xml:space="preserve">: caught Tcl parse errors before any board time was</w:t>
      </w:r>
      <w:r>
        <w:t xml:space="preserve"> </w:t>
      </w:r>
      <w:r>
        <w:t xml:space="preserve">wasted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</w:t>
      </w:r>
      <w:r>
        <w:t xml:space="preserve">: surfaced 89 bit-layout discrepancies in the pre-audit</w:t>
      </w:r>
      <w:r>
        <w:t xml:space="preserve"> </w:t>
      </w:r>
      <w:r>
        <w:t xml:space="preserve">script — many fundamental (e.g., 20 fabricated per-core bits on</w:t>
      </w:r>
      <w:r>
        <w:t xml:space="preserve"> </w:t>
      </w:r>
      <w:r>
        <w:rPr>
          <w:rStyle w:val="VerbatimChar"/>
        </w:rPr>
        <w:t xml:space="preserve">JTAG_DAP_CFG</w:t>
      </w:r>
      <w:r>
        <w:t xml:space="preserve"> </w:t>
      </w:r>
      <w:r>
        <w:t xml:space="preserve">that didn’t exist in real hardware)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Diff</w:t>
      </w:r>
      <w:r>
        <w:t xml:space="preserve">: catches the case where bit math is correct but the</w:t>
      </w:r>
      <w:r>
        <w:t xml:space="preserve"> </w:t>
      </w:r>
      <w:r>
        <w:t xml:space="preserve">interpretation text wasn’t updated to match — a finding can be</w:t>
      </w:r>
      <w:r>
        <w:t xml:space="preserve"> </w:t>
      </w:r>
      <w:r>
        <w:t xml:space="preserve">silently wrong even when the values it cites are right</w:t>
      </w:r>
    </w:p>
    <w:p>
      <w:pPr>
        <w:pStyle w:val="FirstParagraph"/>
      </w:pPr>
      <w:r>
        <w:t xml:space="preserve">Skip any gate and you reintroduce the bug class it was built to</w:t>
      </w:r>
      <w:r>
        <w:t xml:space="preserve"> </w:t>
      </w:r>
      <w:r>
        <w:t xml:space="preserve">prevent.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production-of-results-checklist"/>
    <w:p>
      <w:pPr>
        <w:pStyle w:val="Heading2"/>
      </w:pPr>
      <w:r>
        <w:t xml:space="preserve">5. Reproduction-of-results checklist</w:t>
      </w:r>
    </w:p>
    <w:p>
      <w:pPr>
        <w:pStyle w:val="FirstParagraph"/>
      </w:pPr>
      <w:r>
        <w:t xml:space="preserve">To reproduce the ZCU102 case study from Volume 2 §3 of the</w:t>
      </w:r>
      <w:r>
        <w:t xml:space="preserve"> </w:t>
      </w:r>
      <w:r>
        <w:t xml:space="preserve">whitepaper: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 off the board (SW1 OFF), wait 5 seconds</w:t>
            </w:r>
          </w:p>
        </w:tc>
        <w:tc>
          <w:tcPr/>
          <w:p>
            <w:pPr>
              <w:pStyle w:val="Compact"/>
            </w:pPr>
            <w:r>
              <w:t xml:space="preserve">All LEDs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 SW6 boot mode DIP switch to all-ON (JTAG idle)</w:t>
            </w:r>
          </w:p>
        </w:tc>
        <w:tc>
          <w:tcPr/>
          <w:p>
            <w:pPr>
              <w:pStyle w:val="Compact"/>
            </w:pPr>
            <w:r>
              <w:t xml:space="preserve">Visual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Connect JTAG USB and UART USB cables to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lsusb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0403:6014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10c4:ea71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 both USB devices through to the VM guest if applicable</w:t>
            </w:r>
          </w:p>
        </w:tc>
        <w:tc>
          <w:tcPr/>
          <w:p>
            <w:pPr>
              <w:pStyle w:val="Compact"/>
            </w:pPr>
            <w:r>
              <w:t xml:space="preserve">Same — verified inside 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Power on the board (SW1 ON)</w:t>
            </w:r>
          </w:p>
        </w:tc>
        <w:tc>
          <w:tcPr/>
          <w:p>
            <w:pPr>
              <w:pStyle w:val="Compact"/>
            </w:pPr>
            <w:r>
              <w:t xml:space="preserve">Status LEDs come up; FT232H stays enumerated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openocd -f openocd/zcu102.cfg -c "init; source openocd/discover.tcl; shutdown"</w:t>
            </w:r>
          </w:p>
        </w:tc>
        <w:tc>
          <w:tcPr/>
          <w:p>
            <w:pPr>
              <w:pStyle w:val="Compact"/>
            </w:pPr>
            <w:r>
              <w:t xml:space="preserve">TAPs + IDCODEs + AP list match the expected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openocd -f openocd/zcu102.cfg -c "init; source openocd/enumerate.tcl; shutdown"</w:t>
            </w:r>
          </w:p>
        </w:tc>
        <w:tc>
          <w:tcPr/>
          <w:p>
            <w:pPr>
              <w:pStyle w:val="Compact"/>
            </w:pPr>
            <w:r>
              <w:t xml:space="preserve">Report file appears in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 </w:t>
            </w:r>
            <w:r>
              <w:t xml:space="preserve">after ~10s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Open the report; check §2 chip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XCZU9 (EG/CG) (4-core A53, family=zynqmp)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Check §4 security state findings</w:t>
            </w:r>
          </w:p>
        </w:tc>
        <w:tc>
          <w:tcPr/>
          <w:p>
            <w:pPr>
              <w:pStyle w:val="Compact"/>
            </w:pPr>
            <w:r>
              <w:t xml:space="preserve">SPIDEN=1, SPNIDEN=1 (</w:t>
            </w:r>
            <w:r>
              <w:t xml:space="preserve">“WIDE OPEN”</w:t>
            </w:r>
            <w:r>
              <w:t xml:space="preserve"> </w:t>
            </w:r>
            <w:r>
              <w:t xml:space="preserve">findings),</w:t>
            </w:r>
            <w:r>
              <w:t xml:space="preserve"> </w:t>
            </w:r>
            <w:r>
              <w:rPr>
                <w:rStyle w:val="VerbatimChar"/>
              </w:rPr>
              <w:t xml:space="preserve">EFUSE.SEC_CTRL = 0x00000000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Check §8 A53 release</w:t>
            </w:r>
          </w:p>
        </w:tc>
        <w:tc>
          <w:tcPr/>
          <w:p>
            <w:pPr>
              <w:pStyle w:val="Compact"/>
            </w:pPr>
            <w:r>
              <w:t xml:space="preserve">A53.0 halted at PC</w:t>
            </w:r>
            <w:r>
              <w:t xml:space="preserve"> </w:t>
            </w:r>
            <w:r>
              <w:rPr>
                <w:rStyle w:val="VerbatimChar"/>
              </w:rPr>
              <w:t xml:space="preserve">0xFFFC0000</w:t>
            </w:r>
            <w:r>
              <w:t xml:space="preserve">, CPSR</w:t>
            </w:r>
            <w:r>
              <w:t xml:space="preserve"> </w:t>
            </w:r>
            <w:r>
              <w:rPr>
                <w:rStyle w:val="VerbatimChar"/>
              </w:rPr>
              <w:t xml:space="preserve">0x000003cd</w:t>
            </w:r>
            <w:r>
              <w:t xml:space="preserve"> </w:t>
            </w:r>
            <w:r>
              <w:t xml:space="preserve">(EL3H)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Confirm cleanup re-asserted A53 reset</w:t>
            </w:r>
          </w:p>
        </w:tc>
        <w:tc>
          <w:tcPr/>
          <w:p>
            <w:pPr>
              <w:pStyle w:val="Compact"/>
            </w:pPr>
            <w:r>
              <w:t xml:space="preserve">Final section shows</w:t>
            </w:r>
            <w:r>
              <w:t xml:space="preserve"> </w:t>
            </w:r>
            <w:r>
              <w:rPr>
                <w:rStyle w:val="VerbatimChar"/>
              </w:rPr>
              <w:t xml:space="preserve">RST_FPD_APU after = 0x00003d0f</w:t>
            </w:r>
          </w:p>
        </w:tc>
      </w:tr>
    </w:tbl>
    <w:p>
      <w:pPr>
        <w:pStyle w:val="BodyText"/>
      </w:pPr>
      <w:r>
        <w:t xml:space="preserve">If any step diverges from expected, check:</w:t>
      </w:r>
    </w:p>
    <w:p>
      <w:pPr>
        <w:pStyle w:val="Compact"/>
        <w:numPr>
          <w:ilvl w:val="0"/>
          <w:numId w:val="1007"/>
        </w:numPr>
      </w:pPr>
      <w:r>
        <w:t xml:space="preserve">USB passthrough is current (VMware sometimes drops devices on</w:t>
      </w:r>
      <w:r>
        <w:t xml:space="preserve"> </w:t>
      </w:r>
      <w:r>
        <w:t xml:space="preserve">guest reboot)</w:t>
      </w:r>
    </w:p>
    <w:p>
      <w:pPr>
        <w:pStyle w:val="Compact"/>
        <w:numPr>
          <w:ilvl w:val="0"/>
          <w:numId w:val="1007"/>
        </w:numPr>
      </w:pPr>
      <w:r>
        <w:t xml:space="preserve">Board is fully powered (FT232H needs 3.3V from board)</w:t>
      </w:r>
    </w:p>
    <w:p>
      <w:pPr>
        <w:pStyle w:val="Compact"/>
        <w:numPr>
          <w:ilvl w:val="0"/>
          <w:numId w:val="1007"/>
        </w:numPr>
      </w:pPr>
      <w:r>
        <w:t xml:space="preserve">No other OpenOCD instance is running (</w:t>
      </w:r>
      <w:r>
        <w:rPr>
          <w:rStyle w:val="VerbatimChar"/>
        </w:rPr>
        <w:t xml:space="preserve">pgrep openocd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step 6: SW6 is fully all-ON (any bit wrong selects a different</w:t>
      </w:r>
      <w:r>
        <w:t xml:space="preserve"> </w:t>
      </w:r>
      <w:r>
        <w:t xml:space="preserve">boot mode)</w:t>
      </w:r>
    </w:p>
    <w:p>
      <w:r>
        <w:pict>
          <v:rect style="width:0;height:1.5pt" o:hralign="center" o:hrstd="t" o:hr="t"/>
        </w:pict>
      </w:r>
    </w:p>
    <w:bookmarkEnd w:id="37"/>
    <w:bookmarkStart w:id="38" w:name="common-operational-issues"/>
    <w:p>
      <w:pPr>
        <w:pStyle w:val="Heading2"/>
      </w:pPr>
      <w:r>
        <w:t xml:space="preserve">6. Common operational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lsusb</w:t>
            </w:r>
            <w:r>
              <w:t xml:space="preserve"> </w:t>
            </w:r>
            <w:r>
              <w:t xml:space="preserve">doesn’t show FT232H or CP2108</w:t>
            </w:r>
          </w:p>
        </w:tc>
        <w:tc>
          <w:tcPr/>
          <w:p>
            <w:pPr>
              <w:pStyle w:val="Compact"/>
            </w:pPr>
            <w:r>
              <w:t xml:space="preserve">Board powered off, or USB not passed through</w:t>
            </w:r>
          </w:p>
        </w:tc>
        <w:tc>
          <w:tcPr/>
          <w:p>
            <w:pPr>
              <w:pStyle w:val="Compact"/>
            </w:pPr>
            <w:r>
              <w:t xml:space="preserve">Power board; check VMware USB passthrough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OpenOCD:</w:t>
            </w:r>
            <w:r>
              <w:t xml:space="preserve"> </w:t>
            </w:r>
            <w:r>
              <w:rPr>
                <w:rStyle w:val="VerbatimChar"/>
              </w:rPr>
              <w:t xml:space="preserve">JTAG-DP STICKY ERROR</w:t>
            </w:r>
            <w:r>
              <w:t xml:space="preserve"> </w:t>
            </w:r>
            <w:r>
              <w:t xml:space="preserve">at init</w:t>
            </w:r>
          </w:p>
        </w:tc>
        <w:tc>
          <w:tcPr/>
          <w:p>
            <w:pPr>
              <w:pStyle w:val="Compact"/>
            </w:pPr>
            <w:r>
              <w:t xml:space="preserve">A53 was released in prior run, cleanup didn’t complete</w:t>
            </w:r>
          </w:p>
        </w:tc>
        <w:tc>
          <w:tcPr/>
          <w:p>
            <w:pPr>
              <w:pStyle w:val="Compact"/>
            </w:pPr>
            <w:r>
              <w:t xml:space="preserve">Power-cycle board (SW1 OFF, 5s, ON);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/dev/ttyUSB*</w:t>
            </w:r>
          </w:p>
        </w:tc>
        <w:tc>
          <w:tcPr/>
          <w:p>
            <w:pPr>
              <w:pStyle w:val="Compact"/>
            </w:pPr>
            <w:r>
              <w:t xml:space="preserve">User not in</w:t>
            </w:r>
            <w:r>
              <w:t xml:space="preserve"> </w:t>
            </w:r>
            <w:r>
              <w:rPr>
                <w:rStyle w:val="VerbatimChar"/>
              </w:rPr>
              <w:t xml:space="preserve">dialout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plugdev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usermod -aG dialout,plugdev $USER</w:t>
            </w:r>
            <w:r>
              <w:t xml:space="preserve">; re-login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Enumeration report ends partway through</w:t>
            </w:r>
          </w:p>
        </w:tc>
        <w:tc>
          <w:tcPr/>
          <w:p>
            <w:pPr>
              <w:pStyle w:val="Compact"/>
            </w:pPr>
            <w:r>
              <w:t xml:space="preserve">Tcl error in script</w:t>
            </w:r>
          </w:p>
        </w:tc>
        <w:tc>
          <w:tcPr/>
          <w:p>
            <w:pPr>
              <w:pStyle w:val="Compact"/>
            </w:pPr>
            <w:r>
              <w:t xml:space="preserve">Check stdout for the error line; run</w:t>
            </w:r>
            <w:r>
              <w:t xml:space="preserve"> </w:t>
            </w:r>
            <w:r>
              <w:rPr>
                <w:rStyle w:val="VerbatimChar"/>
              </w:rPr>
              <w:t xml:space="preserve">tcl-smoketest.sh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discover.tcl</w:t>
            </w:r>
            <w:r>
              <w:t xml:space="preserve"> </w:t>
            </w:r>
            <w:r>
              <w:t xml:space="preserve">shows no APs</w:t>
            </w:r>
          </w:p>
        </w:tc>
        <w:tc>
          <w:tcPr/>
          <w:p>
            <w:pPr>
              <w:pStyle w:val="Compact"/>
            </w:pPr>
            <w:r>
              <w:t xml:space="preserve">Target config didn’t load, or DAP examination failed</w:t>
            </w:r>
          </w:p>
        </w:tc>
        <w:tc>
          <w:tcPr/>
          <w:p>
            <w:pPr>
              <w:pStyle w:val="Compact"/>
            </w:pPr>
            <w:r>
              <w:t xml:space="preserve">Verify board config, re-run autoconnect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shows CRITICAL findings</w:t>
            </w:r>
          </w:p>
        </w:tc>
        <w:tc>
          <w:tcPr/>
          <w:p>
            <w:pPr>
              <w:pStyle w:val="Compact"/>
            </w:pPr>
            <w:r>
              <w:t xml:space="preserve">Wrong address or fabricated field introduced</w:t>
            </w:r>
          </w:p>
        </w:tc>
        <w:tc>
          <w:tcPr/>
          <w:p>
            <w:pPr>
              <w:pStyle w:val="Compact"/>
            </w:pPr>
            <w:r>
              <w:t xml:space="preserve">Fix before committing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PDF rebuild slow</w:t>
            </w:r>
          </w:p>
        </w:tc>
        <w:tc>
          <w:tcPr/>
          <w:p>
            <w:pPr>
              <w:pStyle w:val="Compact"/>
            </w:pPr>
            <w:r>
              <w:t xml:space="preserve">LaTeX font setup runs first time on a system</w:t>
            </w:r>
          </w:p>
        </w:tc>
        <w:tc>
          <w:tcPr/>
          <w:p>
            <w:pPr>
              <w:pStyle w:val="Compact"/>
            </w:pPr>
            <w:r>
              <w:t xml:space="preserve">Subsequent runs are fast (~5s per volume)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generating-the-whitepaper-artifacts"/>
    <w:p>
      <w:pPr>
        <w:pStyle w:val="Heading2"/>
      </w:pPr>
      <w:r>
        <w:t xml:space="preserve">7. Regenerating the whitepaper artifacts</w:t>
      </w:r>
    </w:p>
    <w:p>
      <w:pPr>
        <w:pStyle w:val="FirstParagraph"/>
      </w:pPr>
      <w:r>
        <w:t xml:space="preserve">When the markdown source files in</w:t>
      </w:r>
      <w:r>
        <w:t xml:space="preserve"> </w:t>
      </w:r>
      <w:r>
        <w:rPr>
          <w:rStyle w:val="VerbatimChar"/>
        </w:rPr>
        <w:t xml:space="preserve">docs/whitepaper/*.md</w:t>
      </w:r>
      <w:r>
        <w:t xml:space="preserve"> </w:t>
      </w:r>
      <w:r>
        <w:t xml:space="preserve">are edited,</w:t>
      </w:r>
      <w:r>
        <w:t xml:space="preserve"> </w:t>
      </w:r>
      <w:r>
        <w:t xml:space="preserve">regenerate the PDFs and DOCXs:</w:t>
      </w:r>
    </w:p>
    <w:p>
      <w:pPr>
        <w:pStyle w:val="SourceCode"/>
      </w:pPr>
      <w:r>
        <w:rPr>
          <w:rStyle w:val="VerbatimChar"/>
        </w:rPr>
        <w:t xml:space="preserve">cd ~/Desktop/research/JTAG/docs/whitepaper</w:t>
      </w:r>
      <w:r>
        <w:br/>
      </w:r>
      <w:r>
        <w:br/>
      </w:r>
      <w:r>
        <w:rPr>
          <w:rStyle w:val="VerbatimChar"/>
        </w:rPr>
        <w:t xml:space="preserve"># PDFs (per volume)</w:t>
      </w:r>
      <w:r>
        <w:br/>
      </w:r>
      <w:r>
        <w:rPr>
          <w:rStyle w:val="VerbatimChar"/>
        </w:rPr>
        <w:t xml:space="preserve">for vol in 01-foundation 02-workflow 03-enumeration-reveals lab-setup; do</w:t>
      </w:r>
      <w:r>
        <w:br/>
      </w:r>
      <w:r>
        <w:rPr>
          <w:rStyle w:val="VerbatimChar"/>
        </w:rPr>
        <w:t xml:space="preserve">    pandoc --defaults=pandoc-defaults.yaml -o "${vol}.pdf" "${vol}.md"</w:t>
      </w:r>
      <w:r>
        <w:br/>
      </w:r>
      <w:r>
        <w:rPr>
          <w:rStyle w:val="VerbatimChar"/>
        </w:rPr>
        <w:t xml:space="preserve">done</w:t>
      </w:r>
      <w:r>
        <w:br/>
      </w:r>
      <w:r>
        <w:br/>
      </w:r>
      <w:r>
        <w:rPr>
          <w:rStyle w:val="VerbatimChar"/>
        </w:rPr>
        <w:t xml:space="preserve"># Combined PDF</w:t>
      </w:r>
      <w:r>
        <w:br/>
      </w:r>
      <w:r>
        <w:rPr>
          <w:rStyle w:val="VerbatimChar"/>
        </w:rPr>
        <w:t xml:space="preserve">pandoc --defaults=pandoc-defaults.yaml -o whitepaper-combined.pdf \</w:t>
      </w:r>
      <w:r>
        <w:br/>
      </w:r>
      <w:r>
        <w:rPr>
          <w:rStyle w:val="VerbatimChar"/>
        </w:rPr>
        <w:t xml:space="preserve">    01-foundation.md 02-workflow.md 03-enumeration-reveals.md</w:t>
      </w:r>
      <w:r>
        <w:br/>
      </w:r>
      <w:r>
        <w:br/>
      </w:r>
      <w:r>
        <w:rPr>
          <w:rStyle w:val="VerbatimChar"/>
        </w:rPr>
        <w:t xml:space="preserve"># DOCXs</w:t>
      </w:r>
      <w:r>
        <w:br/>
      </w:r>
      <w:r>
        <w:rPr>
          <w:rStyle w:val="VerbatimChar"/>
        </w:rPr>
        <w:t xml:space="preserve">for vol in 01-foundation 02-workflow 03-enumeration-reveals lab-setup; do</w:t>
      </w:r>
      <w:r>
        <w:br/>
      </w:r>
      <w:r>
        <w:rPr>
          <w:rStyle w:val="VerbatimChar"/>
        </w:rPr>
        <w:t xml:space="preserve">    pandoc --defaults=pandoc-defaults-docx.yaml -o "${vol}.docx" "${vol}.md"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When figure source files (</w:t>
      </w:r>
      <w:r>
        <w:rPr>
          <w:rStyle w:val="VerbatimChar"/>
        </w:rPr>
        <w:t xml:space="preserve">docs/whitepaper/figures/*.dot</w:t>
      </w:r>
      <w:r>
        <w:t xml:space="preserve">) are edited,</w:t>
      </w:r>
      <w:r>
        <w:t xml:space="preserve"> </w:t>
      </w:r>
      <w:r>
        <w:t xml:space="preserve">regenerate the PNGs:</w:t>
      </w:r>
    </w:p>
    <w:p>
      <w:pPr>
        <w:pStyle w:val="SourceCode"/>
      </w:pPr>
      <w:r>
        <w:rPr>
          <w:rStyle w:val="VerbatimChar"/>
        </w:rPr>
        <w:t xml:space="preserve">cd docs/whitepaper/figures</w:t>
      </w:r>
      <w:r>
        <w:br/>
      </w:r>
      <w:r>
        <w:rPr>
          <w:rStyle w:val="VerbatimChar"/>
        </w:rPr>
        <w:t xml:space="preserve">for f in *.dot; do</w:t>
      </w:r>
      <w:r>
        <w:br/>
      </w:r>
      <w:r>
        <w:rPr>
          <w:rStyle w:val="VerbatimChar"/>
        </w:rPr>
        <w:t xml:space="preserve">    dot -Tpng -Gdpi=150 -Gsplines=ortho "$f" -o "${f%.dot}.png"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Then rebuild the affected PDFs.</w:t>
      </w:r>
    </w:p>
    <w:p>
      <w:pPr>
        <w:pStyle w:val="BodyText"/>
      </w:pPr>
      <w:r>
        <w:t xml:space="preserve">When the QEMU register sources at</w:t>
      </w:r>
      <w:r>
        <w:t xml:space="preserve"> </w:t>
      </w:r>
      <w:r>
        <w:rPr>
          <w:rStyle w:val="VerbatimChar"/>
        </w:rPr>
        <w:t xml:space="preserve">/opt/xilinx/qemu/hw/misc/*.c</w:t>
      </w:r>
      <w:r>
        <w:t xml:space="preserve"> </w:t>
      </w:r>
      <w:r>
        <w:t xml:space="preserve">are</w:t>
      </w:r>
      <w:r>
        <w:t xml:space="preserve"> </w:t>
      </w:r>
      <w:r>
        <w:t xml:space="preserve">updated (rare — only when Xilinx QEMU is upgraded):</w:t>
      </w:r>
    </w:p>
    <w:p>
      <w:pPr>
        <w:pStyle w:val="SourceCode"/>
      </w:pPr>
      <w:r>
        <w:rPr>
          <w:rStyle w:val="VerbatimChar"/>
        </w:rPr>
        <w:t xml:space="preserve">python3 tools/regenerate-qemu-regs.py</w:t>
      </w:r>
      <w:r>
        <w:br/>
      </w:r>
      <w:r>
        <w:rPr>
          <w:rStyle w:val="VerbatimChar"/>
        </w:rPr>
        <w:t xml:space="preserve">./tools/tcl-smoketest.sh        # confirm capture + interpret still match goldens</w:t>
      </w:r>
    </w:p>
    <w:p>
      <w:r>
        <w:pict>
          <v:rect style="width:0;height:1.5pt" o:hralign="center" o:hrstd="t" o:hr="t"/>
        </w:pict>
      </w:r>
    </w:p>
    <w:bookmarkEnd w:id="39"/>
    <w:bookmarkStart w:id="40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01-foundation.md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02-workflow.md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03-enumeration-reveals.md</w:t>
      </w:r>
      <w:r>
        <w:t xml:space="preserve"> </w:t>
      </w:r>
      <w:r>
        <w:t xml:space="preserve">—</w:t>
      </w:r>
      <w:r>
        <w:t xml:space="preserve"> </w:t>
      </w:r>
      <w:r>
        <w:t xml:space="preserve">the three-volume whitepaper series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docs/05-enumeration-tool.md</w:t>
      </w:r>
      <w:r>
        <w:t xml:space="preserve"> </w:t>
      </w:r>
      <w:r>
        <w:t xml:space="preserve">— full</w:t>
      </w:r>
      <w:r>
        <w:t xml:space="preserve"> </w:t>
      </w:r>
      <w:r>
        <w:rPr>
          <w:rStyle w:val="VerbatimChar"/>
        </w:rPr>
        <w:t xml:space="preserve">enumerate.tcl</w:t>
      </w:r>
      <w:r>
        <w:t xml:space="preserve"> </w:t>
      </w:r>
      <w:r>
        <w:t xml:space="preserve">manual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docs/09-discover-tool.md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discover.tcl</w:t>
      </w:r>
      <w:r>
        <w:t xml:space="preserve"> </w:t>
      </w:r>
      <w:r>
        <w:t xml:space="preserve">reference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docs/11-enumerated-attributes.md</w:t>
      </w:r>
      <w:r>
        <w:t xml:space="preserve"> </w:t>
      </w:r>
      <w:r>
        <w:t xml:space="preserve">— enumerated security-attribute catalog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docs/appendix-a-recovery.md</w:t>
      </w:r>
      <w:r>
        <w:t xml:space="preserve"> </w:t>
      </w:r>
      <w:r>
        <w:t xml:space="preserve">— DAP-wedge recovery procedures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docs/appendix-b-references.md</w:t>
      </w:r>
      <w:r>
        <w:t xml:space="preserve"> </w:t>
      </w:r>
      <w:r>
        <w:t xml:space="preserve">— Xilinx and ARM document references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index — current project status and pending work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JTAG Enumeration Lab Setup and Test Architecture</dc:title>
  <dc:creator/>
  <cp:keywords/>
  <dcterms:created xsi:type="dcterms:W3CDTF">2026-06-08T14:57:28Z</dcterms:created>
  <dcterms:modified xsi:type="dcterms:W3CDTF">2026-06-08T14:57:28Z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Companion to the whitepaper series — reproducing the workflow</vt:lpwstr>
  </property>
</Properties>
</file>