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Dictionnaire de données &amp; MCD/MLD</w:t>
      </w:r>
    </w:p>
    <w:p>
      <w:pPr>
        <w:spacing w:after="40"/>
      </w:pPr>
      <w:r>
        <w:rPr>
          <w:i/>
          <w:iCs/>
          <w:sz w:val="24"/>
          <w:szCs w:val="24"/>
        </w:rPr>
        <w:t xml:space="preserve">FraudGuard — Plateforme de Détection de Fraude Bancaire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Version 1.0 — Aligné avec le Cahier des charges v2.1 et les diagrammes UML corrigés</w:t>
      </w:r>
    </w:p>
    <w:p>
      <w:pPr>
        <w:pStyle w:val="Heading1"/>
        <w:spacing w:after="150" w:before="300"/>
      </w:pPr>
      <w:r>
        <w:t xml:space="preserve">1. Modèle Conceptuel de Données (MCD)</w:t>
      </w:r>
    </w:p>
    <w:p>
      <w:pPr>
        <w:spacing w:after="120"/>
      </w:pPr>
      <w:r>
        <w:rPr>
          <w:sz w:val="22"/>
          <w:szCs w:val="22"/>
        </w:rPr>
        <w:t xml:space="preserve">Le système repose sur 7 entités principales, reflétant les diagrammes de classes et de packages corrigés.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(1,N) — saisit — TRANSACTION (0,N)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(1,1) — génère — PREDICTION (1,1)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PREDICTION (0,1) — déclenche — ALERT (1,1)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 (0,N) — traitée par — USER (1,1)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MLMODEL (1,N) — produit — PREDICTION (0,N)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(1,N) — génère — REPORT (0,N)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(1,N) — déclenche — AUDITLOG (0,N)</w:t>
      </w:r>
    </w:p>
    <w:p>
      <w:pPr>
        <w:spacing w:after="120"/>
      </w:pPr>
      <w:r>
        <w:rPr>
          <w:sz w:val="22"/>
          <w:szCs w:val="22"/>
        </w:rPr>
        <w:t xml:space="preserve">Cardinalités : une transaction génère exactement une prédiction (relation 1:1) ; une prédiction déclenche au plus une alerte (relation 0:1, uniquement si le score dépasse le seuil configuré) ; un modèle ML peut produire de nombreuses prédictions dans le temps.</w:t>
      </w:r>
    </w:p>
    <w:p>
      <w:pPr>
        <w:pStyle w:val="Heading1"/>
        <w:spacing w:after="150" w:before="300"/>
      </w:pPr>
      <w:r>
        <w:t xml:space="preserve">2. Modèle Logique de Données (MLD)</w:t>
      </w:r>
    </w:p>
    <w:p>
      <w:pPr>
        <w:spacing w:after="120"/>
      </w:pPr>
      <w:r>
        <w:rPr>
          <w:sz w:val="22"/>
          <w:szCs w:val="22"/>
        </w:rPr>
        <w:t xml:space="preserve">USERS (id, first_name, last_name, email, password, role, is_active, date_joined, last_login)</w:t>
      </w:r>
    </w:p>
    <w:p>
      <w:pPr>
        <w:spacing w:after="120"/>
      </w:pPr>
      <w:r>
        <w:rPr>
          <w:sz w:val="22"/>
          <w:szCs w:val="22"/>
        </w:rPr>
        <w:t xml:space="preserve">ML_MODELS (id, version, algorithm, precision_score, recall_score, f1_score, auc_roc, trained_at, is_active, artifact_path)</w:t>
      </w:r>
    </w:p>
    <w:p>
      <w:pPr>
        <w:spacing w:after="120"/>
      </w:pPr>
      <w:r>
        <w:rPr>
          <w:sz w:val="22"/>
          <w:szCs w:val="22"/>
        </w:rPr>
        <w:t xml:space="preserve">TRANSACTIONS (id, transaction_id, amount, merchant, device, location, channel, timestamp, status, #created_by_id)</w:t>
      </w:r>
    </w:p>
    <w:p>
      <w:pPr>
        <w:spacing w:after="120"/>
      </w:pPr>
      <w:r>
        <w:rPr>
          <w:sz w:val="22"/>
          <w:szCs w:val="22"/>
        </w:rPr>
        <w:t xml:space="preserve">PREDICTIONS (id, #transaction_id, #ml_model_id, fraud_probability, prediction, prediction_date)</w:t>
      </w:r>
    </w:p>
    <w:p>
      <w:pPr>
        <w:spacing w:after="120"/>
      </w:pPr>
      <w:r>
        <w:rPr>
          <w:sz w:val="22"/>
          <w:szCs w:val="22"/>
        </w:rPr>
        <w:t xml:space="preserve">ALERTS (id, #prediction_id, #assigned_to_id, status, severity, comment, created_at, resolved_at)</w:t>
      </w:r>
    </w:p>
    <w:p>
      <w:pPr>
        <w:spacing w:after="120"/>
      </w:pPr>
      <w:r>
        <w:rPr>
          <w:sz w:val="22"/>
          <w:szCs w:val="22"/>
        </w:rPr>
        <w:t xml:space="preserve">REPORTS (id, title, type, #generated_by_id, period_start, period_end, file_path, created_at)</w:t>
      </w:r>
    </w:p>
    <w:p>
      <w:pPr>
        <w:spacing w:after="120"/>
      </w:pPr>
      <w:r>
        <w:rPr>
          <w:sz w:val="22"/>
          <w:szCs w:val="22"/>
        </w:rPr>
        <w:t xml:space="preserve">AUDIT_LOGS (id, #user_id, action, ip_address, details, created_at)</w:t>
      </w:r>
    </w:p>
    <w:p>
      <w:pPr>
        <w:spacing w:after="120"/>
      </w:pPr>
      <w:r>
        <w:rPr>
          <w:sz w:val="22"/>
          <w:szCs w:val="22"/>
        </w:rPr>
        <w:t xml:space="preserve">(# = clé étrangère)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Dictionnaire de données</w:t>
      </w:r>
    </w:p>
    <w:p>
      <w:pPr>
        <w:pStyle w:val="Heading2"/>
        <w:spacing w:after="120" w:before="240"/>
      </w:pPr>
      <w:r>
        <w:t xml:space="preserve">3.1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3200"/>
        <w:gridCol w:w="1800"/>
      </w:tblGrid>
      <w:tr>
        <w:trPr>
          <w:tblHeader/>
        </w:trPr>
        <w:tc>
          <w:tcPr>
            <w:tcW w:type="dxa" w:w="16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Prénom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Adresse email (identifiant de connexion)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 de passe hashé (Argon2/PBKDF2)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| analyst | agent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Compte actif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date_joined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de création du compte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Dernière connexion (audit)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3.2 ML_MODELS</w:t>
      </w:r>
    </w:p>
    <w:p>
      <w:pPr>
        <w:spacing w:after="120"/>
      </w:pPr>
      <w:r>
        <w:rPr>
          <w:sz w:val="22"/>
          <w:szCs w:val="22"/>
        </w:rPr>
        <w:t xml:space="preserve">Suivi des modèles ML déployés — couvre l'exigence CDC 5.5 (métriques, date d'entraînement, versionning).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3200"/>
        <w:gridCol w:w="1800"/>
      </w:tblGrid>
      <w:tr>
        <w:trPr>
          <w:tblHeader/>
        </w:trPr>
        <w:tc>
          <w:tcPr>
            <w:tcW w:type="dxa" w:w="16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du modèle (ex: v1.2.0)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logistic_regression | random_forest | xgboost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precision_score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[0,1]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Précision sur le jeu de test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recall_score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[0,1]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Rappel sur la classe fraude (minoritaire)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f1_score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[0,1]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F1-score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auc_roc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[0,1]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Aire sous la courbe ROC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trained_at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d'entraînement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Modèle actuellement en production (un seul actif à la fois)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artifact_path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Chemin du fichier Joblib exporté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3.3 TRANSACTIONS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3200"/>
        <w:gridCol w:w="1800"/>
      </w:tblGrid>
      <w:tr>
        <w:trPr>
          <w:tblHeader/>
        </w:trPr>
        <w:tc>
          <w:tcPr>
            <w:tcW w:type="dxa" w:w="16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Identifiant interne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Identifiant métier externe de la transaction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Montant de la transaction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merchant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Marchand / bénéficiaire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Appareil utilisé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Localisation de la transaction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| mobile_money | transfer | online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Date/heure de la transaction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pending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| legitimate | fraudulent | under_review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created_by_id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users.id,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financier ayant saisi la transaction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</w:tr>
    </w:tbl>
    <w:p>
      <w:pPr>
        <w:pStyle w:val="Heading2"/>
        <w:spacing w:after="120" w:before="240"/>
      </w:pPr>
      <w:r>
        <w:t xml:space="preserve">3.4 PREDICTIONS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3200"/>
        <w:gridCol w:w="1800"/>
      </w:tblGrid>
      <w:tr>
        <w:trPr>
          <w:tblHeader/>
        </w:trPr>
        <w:tc>
          <w:tcPr>
            <w:tcW w:type="dxa" w:w="16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transactions.id, NOT NULL, UNIQUE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 scorée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ml_model_id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ml_models.id, 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Modèle ayant produit le score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fraud_probability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[0,1]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Probabilité de fraude (0 à 1)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 binaire (frauduleuse ou non)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prediction_date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du scoring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3.5 ALERTS</w:t>
      </w:r>
    </w:p>
    <w:p>
      <w:pPr>
        <w:spacing w:after="120"/>
      </w:pPr>
      <w:r>
        <w:rPr>
          <w:sz w:val="22"/>
          <w:szCs w:val="22"/>
        </w:rPr>
        <w:t xml:space="preserve">Couvre le cas d'utilisation « Traiter une alerte » et l'exigence de seuils configurables (CDC 5.3).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3200"/>
        <w:gridCol w:w="1800"/>
      </w:tblGrid>
      <w:tr>
        <w:trPr>
          <w:tblHeader/>
        </w:trPr>
        <w:tc>
          <w:tcPr>
            <w:tcW w:type="dxa" w:w="16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prediction_id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predictions.id, NOT NULL, UNIQUE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Prédiction ayant déclenché l'alerte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assigned_to_id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users.id,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Analyste assigné au traitement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open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| confirmed | rejected | resolved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medium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| medium | high | critical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Annotation de l'analyste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de création de l'alerte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de résolution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3.6 REPORTS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3200"/>
        <w:gridCol w:w="1800"/>
      </w:tblGrid>
      <w:tr>
        <w:trPr>
          <w:tblHeader/>
        </w:trPr>
        <w:tc>
          <w:tcPr>
            <w:tcW w:type="dxa" w:w="16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Titre du rapport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| csv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generated_by_id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users.id,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Utilisateur ayant généré le rapport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Début de la période couverte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period_end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 de la période couverte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file_path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Chemin du fichier généré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de génération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3.7 AUDIT_LOGS</w:t>
      </w:r>
    </w:p>
    <w:p>
      <w:pPr>
        <w:spacing w:after="120"/>
      </w:pPr>
      <w:r>
        <w:rPr>
          <w:sz w:val="22"/>
          <w:szCs w:val="22"/>
        </w:rPr>
        <w:t xml:space="preserve">Traçabilité des accès aux données sensibles (CDC section 6, conformité RGPD).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3200"/>
        <w:gridCol w:w="1800"/>
      </w:tblGrid>
      <w:tr>
        <w:trPr>
          <w:tblHeader/>
        </w:trPr>
        <w:tc>
          <w:tcPr>
            <w:tcW w:type="dxa" w:w="16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users.id,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Utilisateur ayant effectué l'action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d'action (login, export, modification...)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Adresse IP source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Détails contextuels de l'action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Horodatage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Normalisation</w:t>
      </w:r>
    </w:p>
    <w:p>
      <w:pPr>
        <w:spacing w:after="120"/>
      </w:pPr>
      <w:r>
        <w:rPr>
          <w:sz w:val="22"/>
          <w:szCs w:val="22"/>
        </w:rPr>
        <w:t xml:space="preserve">Le schéma respecte la 3ème forme normale (3NF)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1NF : tous les attributs sont atomiques (pas de valeurs multiples dans une colonne).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2NF : chaque attribut non-clé dépend entièrement de la clé primaire (toutes les tables utilisent une clé primaire simple SERIAL).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3NF : aucune dépendance transitive — par exemple, les métriques du modèle ML (precision, recall, f1, auc_roc) sont isolées dans ML_MODELS plutôt que dupliquées dans chaque PREDICTION.</w:t>
      </w:r>
    </w:p>
    <w:p>
      <w:pPr>
        <w:spacing w:after="120"/>
      </w:pPr>
      <w:r>
        <w:rPr>
          <w:sz w:val="22"/>
          <w:szCs w:val="22"/>
        </w:rPr>
        <w:t xml:space="preserve">Choix de dénormalisation assumé : aucun. Le volume de transactions attendu pour un projet académique ne justifie pas de dénormalisation pour la performance.</w:t>
      </w:r>
    </w:p>
    <w:p>
      <w:pPr>
        <w:pStyle w:val="Heading1"/>
        <w:spacing w:after="150" w:before="300"/>
      </w:pPr>
      <w:r>
        <w:t xml:space="preserve">5. Index</w:t>
      </w:r>
    </w:p>
    <w:p>
      <w:pPr>
        <w:spacing w:after="120"/>
      </w:pPr>
      <w:r>
        <w:rPr>
          <w:sz w:val="22"/>
          <w:szCs w:val="22"/>
        </w:rPr>
        <w:t xml:space="preserve">Index créés au-delà des clés primaires/étrangères, pour les requêtes fréquentes identifiées dans le CDC (filtres, dashboard, alertes)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00"/>
      </w:tblGrid>
      <w:tr>
        <w:trPr>
          <w:tblHeader/>
        </w:trPr>
        <w:tc>
          <w:tcPr>
            <w:tcW w:type="dxa" w:w="30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Colonne(s)</w:t>
            </w:r>
          </w:p>
        </w:tc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Filtrage par statut (dashboard, historique)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Filtres par période (CDC 5.4)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Répartition par canal (graphiques dashboard)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fraud_probability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Tri/filtre par score de risque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des alertes ouvertes (cas d'utilisation Analyste)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Priorisation du traitement des alertes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ml_models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 (partiel, unique)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Garantit un seul modèle actif en production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Requêtes d'audit par période</w:t>
            </w:r>
          </w:p>
        </w:tc>
      </w:tr>
    </w:tbl>
    <w:p>
      <w:pPr>
        <w:pStyle w:val="Heading1"/>
        <w:spacing w:after="150" w:before="300"/>
      </w:pPr>
      <w:r>
        <w:t xml:space="preserve">6. Fichiers livrés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schema_postgresql.sql — script DDL complet (tables, contraintes, index)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models.py — traduction en modèles Django ORM</w:t>
      </w:r>
    </w:p>
    <w:p>
      <w:pPr>
        <w:spacing w:after="120"/>
      </w:pPr>
      <w:r>
        <w:rPr>
          <w:sz w:val="22"/>
          <w:szCs w:val="22"/>
        </w:rPr>
        <w:t xml:space="preserve">Ces deux fichiers sont directement exploitables en Phase 4 (conception BDD) et Phase 5/7 (initialisation Django) de la roadmap.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2026-08-06T13:52:45.836Z</dcterms:created>
  <dcterms:modified xsi:type="dcterms:W3CDTF">2026-08-06T13:52:45.859Z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