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的藏品，而且是平铺拍的——这一点请记住，第 15 页你们会再看到同一个视角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/>
      <w:r>
        <w:t>【本次课件的差异】</w:t>
      </w:r>
    </w:p>
    <w:p>
      <w:pPr>
        <w:pStyle w:val="164"/>
      </w:pPr>
      <w:r>
        <w:t>第三格是 V&amp;A 所藏上下《Sculpture》系列外套（2013，藏品号 FE.97-2021 / O1596331），手工擀毡羊绒，V&amp;A 著录产地为蒙古，平铺拍摄。第四格是 V&amp;A 所藏王一扬《Grey Coat》（2005，藏品号 O132501），著录为女装棉大衣。原来这一格放的是上下的 2016 年大衣，与第三格同一位设计师、同一种毡、同样平铺拍摄，两张读起来像一张，所以换掉了。原来的 Susan Fang 与陈序之 两格已经移出本页：前者与第05周是同一张图，后者与第10周重复；陈序之 在第 15 页和第 19 页仍然出现。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07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24 页（市场先行）没有系列图，理由见该页讲稿。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