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请把上周带来的四样摊在桌上：主题板打印稿、带编号的设计任务书、8到12张已编号资料、描图纸剪刀胶带。特别提醒：请在任务书上先圈出你的45字概念句，它就是今天第一张元素卡的核心规则。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教师：16分钟与17分钟计时器、元素卡空白模板、四级分层空白表、失败卡F1–F4投影页、学生用元素库记录表打印稿。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显示封面五套造型；用手在屏幕上划一次“观察—命名—抽象—规则化—元素库”这条线。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快速指向已完成的01–04与当前的05–08两段。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2白坯样衣中期评审。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先做3分钟开场：请学生摊开四样材料，在任务书上圈出45字概念句。再讲对照表。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我们先花三分钟。请摊开第04周带来的四样：主题板打印稿、带编号的设计任务书、8到12张已编号资料、描图纸和剪刀胶带。</w:t>
      </w:r>
    </w:p>
    <w:p>
      <w:pPr>
        <w:pStyle w:val="SpokenText"/>
      </w:pPr>
      <w:r>
        <w:t>现在在任务书上圈出你的概念句，那45个字。它就是今天第一张元素卡的核心规则。第04周一句话小结里写的“要先提取什么作为可变形的元素”，现在把那一项抄到卡片顶端。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看这张对照表。上周的45字概念句，今天变成元素卡的“核心规则”一栏。上周的8到12张已编号资料，今天变成元素卡的“来源”一栏——编号加局部。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请两名学生念出自己圈的概念句，教师当场指出其中哪个词最可能成为核心元素。</w:t>
      </w:r>
    </w:p>
    <w:p>
      <w:pPr>
        <w:pStyle w:val="LectureBullet"/>
      </w:pPr>
      <w:r>
        <w:t>• 若学生说“我的任务书没写验”，回应：“现在补一句。下周你要用元素图、样布还是白坯检查？选一个。”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依次指向观察、命名、抽象、分级四步；在“分级”上停顿。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分级：确定核心、辅助、语境和禁用元素。核心只要2到3个，其余进入相应层级。</w:t>
      </w:r>
    </w:p>
    <w:p>
      <w:pPr>
        <w:pStyle w:val="SpokenText"/>
      </w:pPr>
      <w:r>
        <w:t>两课时的成果是：第一课时三张合格元素卡加一条核心规则；第二课时扩展到8到10张元素卡加一张层级矩阵。离开课堂前必须能回答三个问题：来自哪一条证据？允许改变什么？为什么值得保留？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请学生说出自己打算做的核心元素，教师追问：“遮住原图，你能用一句话让别人画出来吗？”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先只显示左侧作品图与“错误路径”，请学生判断；再打开四条规则。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请学生对自己的候选元素做一次遮图测试，说出三个不同结果。</w:t>
      </w:r>
    </w:p>
    <w:p>
      <w:pPr>
        <w:pStyle w:val="LectureBullet"/>
      </w:pPr>
      <w:r>
        <w:t>• 若学生只能说出一个，回应：“那说明你提取的还是形状，不是规则。请再抽象一层。”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依次指向调研证据、六套系列、成衣验证三张图。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请学生说出自己调研对象里的一个“物”，教师追问：“它的关系是什么？曲率、方向，还是连接方式？”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逐一指向廓形、线条、比例、色彩、材料、细节；在最后一行“筛选”上停顿。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今天开始统一用六类：廓形、线条、比例、色彩、材料、细节。这是六个观察角度，不是六个必须填满的格子。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方法是：每类先找2到3项，再按证据强度和系列潜力筛选。六类都做满不是目标，找出哪一类真正承担你的命题才是。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点名一位学生，请他为自己的命题在六类中各说一项，教师只追问最弱的那一类。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指向四步：研究、生成、选择、修订。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指向来源图与三条观察；提醒“不要跳到完整设计”。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请学生把自己的一条观察分成“事实”和“推测”两栏，教师检查是否混在一起。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先念示范操作句，再指向变量四项与“不变项”一栏。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请一名学生现场说一句操作句，全班判断里面有没有形容词。</w:t>
      </w:r>
    </w:p>
    <w:p>
      <w:pPr>
        <w:pStyle w:val="LectureBullet"/>
      </w:pPr>
      <w:r>
        <w:t>• 若出现“优雅地放大”，回应：“‘优雅’不能执行。请换成一个数字或一个位置。”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依次指向研究板、六套系列、成衣三张图。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追问：“如果只看第一张研究板，你能预测出第三张成衣的样子吗？哪些部分能，哪些不能？”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指向六行分级示例；在最后一行“删除后身份不变，就不是核心”上停顿。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四级的数量建议是：核心2到3个，辅助3到5个，其余进入语境或禁用。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请学生对自己的元素做一次删除测试，教师追问：“删掉之后，还是同一个系列吗？”</w:t>
      </w:r>
    </w:p>
    <w:p>
      <w:pPr>
        <w:pStyle w:val="LectureBullet"/>
      </w:pPr>
      <w:r>
        <w:t>• 若学生把五项都标成核心，回应：“核心最多三个。请排序，然后把第四项以后降级。”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指向来源、语境、提取、责任四栏；在“不贴民族符号、不编造寓意”上停顿。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若学生问“我用的是自己家乡的工艺，也要这样吗”，回应：“要。你是使用者，但作品会公开。公开时读者不知道你的背景，所以来源和语境仍要写清楚。”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启动16分钟计时器并投影。四段各报一次时间；巡视时只问一个问题。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若学生同时改了两个变量，提醒：“一次只改一个。否则你不知道是哪个变化产生了效果。”</w:t>
      </w:r>
    </w:p>
    <w:p>
      <w:pPr>
        <w:pStyle w:val="LectureBullet"/>
      </w:pPr>
      <w:r>
        <w:t>• 若学生卡在分级，提示：“先不分四级。先选出一个你绝对不删的，那就是核心。”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不展开，只宣布节奏：案例与方法9分钟、制作17分钟、同伴讲评9分钟、修订与Gate 6分钟、模板与总结4分钟。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指向五项条件：身体关系、结构控制、材料行为、制作证据、系列连续性。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指向四项分析：硬壳、雕塑比例、软性边缘、工艺触点。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指向固定、伸展、释放三段。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指向实际结果与实际过程两张照片；说明过程照片可点击放大。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请学生说出自己下周要做的第一个实验，教师追问：“你要锁定什么？改变什么？”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指向四项：核心层叠、动作悬挂、变化扩张收束、语境透明粉彩。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不逐条念完，只念F1和F2，请学生自查F3、F4。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请学生举手：认为自己现在最接近F1的、F2的、F3的、F4的各有多少人。据此调整巡视重点。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启动17分钟计时器并投影。四段各报一次时间。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输出是六张元素卡、层级表和一条材料测试计划。课后补到8到10张。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巡视时问：“你的核心有几个？超过三个的请现在降级。”</w:t>
      </w:r>
    </w:p>
    <w:p>
      <w:pPr>
        <w:pStyle w:val="LectureBullet"/>
      </w:pPr>
      <w:r>
        <w:t>• 若学生只是把卡片画得更漂亮，提醒：“现在补的是逻辑，不是画面。”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打开学生用模板页面并投影；说明九栏，重点说AI记录、版权、文化风险三栏。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分组后启动计时器；每人1分钟说明加1分钟反馈，另留时间换位与记录。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若某组只讨论画面好看，介入一次：“请只回答第四个问题：他的核心有几个？”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启动6分钟计时；按0–2、2–5、5–8的比例压缩为0–2、2–4、4–6。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指向四张总结卡与两栏提交／Gate；最后停在一句话小结上等学生写完。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这周提交三项：课堂完成六张元素卡，课后补至8到10张；四级层级表加来源编号加AI用记录；两张核心卡各写两条不变条件。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指向四步与时间线；最后念携带清单。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下周携带：两张核心元素卡、描图纸与A3底板、剪刀和胶、基础坯布或候选材料。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第1课时实操：“十六分钟开始。前四分钟只圈证据，不写句子。”／“还剩三分钟，请做初步分级。”</w:t>
      </w:r>
    </w:p>
    <w:p>
      <w:pPr>
        <w:pStyle w:val="LectureBullet"/>
      </w:pPr>
      <w:r>
        <w:t>• 第2课时实操：“十七分钟开始。前五分钟每张再做一个变体。”／“还剩四分钟，写材料假设与失败条件。”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>
        <w:pStyle w:val="LectureBullet"/>
      </w:pPr>
      <w:r>
        <w:t>• 修订与Gate：“前两分钟自检，接下来两分钟互检，最后两分钟我抽检风险卡。”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“我提取了一个图形” → “图形是长相。请说出它的关系：方向、固定点、密度，还是连接方式。”</w:t>
      </w:r>
    </w:p>
    <w:p>
      <w:pPr>
        <w:pStyle w:val="LectureBullet"/>
      </w:pPr>
      <w:r>
        <w:t>• “六类我都写满了” → “写满不是目标。请指出哪一类是核心，其余降级。”</w:t>
      </w:r>
    </w:p>
    <w:p>
      <w:pPr>
        <w:pStyle w:val="LectureBullet"/>
      </w:pPr>
      <w:r>
        <w:t>• “核心有五个” → “核心最多三个。删除测试：去掉它之后还是同一个系列吗？”</w:t>
      </w:r>
    </w:p>
    <w:p>
      <w:pPr>
        <w:pStyle w:val="LectureBullet"/>
      </w:pPr>
      <w:r>
        <w:t>• “我用了AI生成了很多方案” → “AI扩大候选，不替代判断。请写出工具、提示、采用理由和人工修改在哪里。”</w:t>
      </w:r>
    </w:p>
    <w:p>
      <w:pPr>
        <w:pStyle w:val="LectureBullet"/>
      </w:pPr>
      <w:r>
        <w:t>• “这个纹样代表吉祥” → “有资料能证明吗？没有就写‘待查证’。我们提取结构，不编造寓意。”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讲东华、广美等院校案例时使用“学院官方公开资料显示”，避免外籍教师使用“我们国家”造成指代混乱。</w:t>
      </w:r>
    </w:p>
    <w:p>
      <w:pPr>
        <w:pStyle w:val="LectureBullet"/>
      </w:pPr>
      <w:r>
        <w:t>• 讲潮汕嵌瓷、寄木细工等工艺时使用“结构转译、材料原理、制作逻辑”，避免把文化简化成可复制的纹样。</w:t>
      </w:r>
    </w:p>
    <w:p>
      <w:pPr>
        <w:pStyle w:val="LectureBullet"/>
      </w:pPr>
      <w:r>
        <w:t>• 不要把“中国传统”“东方美学”当作统一类别；始终回到具体地区、具体工艺、具体使用者。</w:t>
      </w:r>
    </w:p>
    <w:p>
      <w:pPr>
        <w:pStyle w:val="LectureBullet"/>
      </w:pPr>
      <w:r>
        <w:t>• 涉及学生作品时使用“课堂反向分析，不宣称是作者本人或学校发布的分类结论”。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