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23B63"/>
          <w:sz w:val="56"/>
        </w:rPr>
        <w:t>CIC-Bell-DNS-EXF-2021</w:t>
      </w:r>
    </w:p>
    <w:p>
      <w:pPr>
        <w:jc w:val="center"/>
      </w:pPr>
      <w:r>
        <w:rPr>
          <w:b/>
          <w:color w:val="123B63"/>
          <w:sz w:val="48"/>
        </w:rPr>
        <w:t>DNS Security EDA 분석 보고서</w:t>
      </w:r>
    </w:p>
    <w:p>
      <w:pPr>
        <w:spacing w:before="320"/>
        <w:jc w:val="center"/>
      </w:pPr>
      <w:r>
        <w:rPr>
          <w:color w:val="505A64"/>
          <w:sz w:val="24"/>
        </w:rPr>
        <w:t>정상 DNS 통신과 비정상 데이터 전송 / DNS Tunneling 행동 차이 탐색</w:t>
      </w:r>
    </w:p>
    <w:p>
      <w:pPr>
        <w:spacing w:before="1600"/>
        <w:jc w:val="center"/>
      </w:pPr>
      <w:r>
        <w:rPr>
          <w:color w:val="E88A2D"/>
          <w:sz w:val="20"/>
        </w:rPr>
        <w:t>Stateless Query Features  ·  Stateful Window Features  ·  DNS Malicious Behavior Detection</w:t>
      </w:r>
    </w:p>
    <w:p>
      <w:r>
        <w:br w:type="page"/>
      </w:r>
    </w:p>
    <w:p>
      <w:pPr>
        <w:spacing w:after="160"/>
      </w:pPr>
      <w:r>
        <w:rPr>
          <w:b/>
          <w:color w:val="123B63"/>
          <w:sz w:val="44"/>
        </w:rPr>
        <w:t>Dataset CIC-Bell-DNS-EXF-2021</w:t>
      </w:r>
    </w:p>
    <w:p>
      <w:pPr>
        <w:spacing w:after="200"/>
      </w:pPr>
      <w:r>
        <w:rPr>
          <w:color w:val="505A64"/>
          <w:sz w:val="20"/>
        </w:rPr>
        <w:t>Analysis Type: Exploratory Data Analysis (EDA)</w:t>
      </w:r>
    </w:p>
    <w:tbl>
      <w:tblPr>
        <w:tblStyle w:val="TableGrid"/>
        <w:tblW w:type="auto" w:w="0"/>
        <w:jc w:val="center"/>
        <w:tblLook w:firstColumn="1" w:firstRow="1" w:lastColumn="0" w:lastRow="0" w:noHBand="0" w:noVBand="1" w:val="04A0"/>
      </w:tblPr>
      <w:tblGrid>
        <w:gridCol w:w="5184"/>
        <w:gridCol w:w="5184"/>
      </w:tblGrid>
      <w:tr>
        <w:tc>
          <w:tcPr>
            <w:tcW w:type="dxa" w:w="5184"/>
            <w:shd w:fill="123B63"/>
          </w:tcPr>
          <w:p>
            <w:r>
              <w:rPr>
                <w:b/>
                <w:color w:val="FFFFFF"/>
                <w:sz w:val="18"/>
              </w:rPr>
              <w:t>항목</w:t>
            </w:r>
          </w:p>
        </w:tc>
        <w:tc>
          <w:tcPr>
            <w:tcW w:type="dxa" w:w="5184"/>
            <w:shd w:fill="123B63"/>
          </w:tcPr>
          <w:p>
            <w:r>
              <w:rPr>
                <w:b/>
                <w:color w:val="FFFFFF"/>
                <w:sz w:val="18"/>
              </w:rPr>
              <w:t>내용</w:t>
            </w:r>
          </w:p>
        </w:tc>
      </w:tr>
      <w:tr>
        <w:tc>
          <w:tcPr>
            <w:tcW w:type="dxa" w:w="5184"/>
          </w:tcPr>
          <w:p>
            <w:r>
              <w:rPr>
                <w:sz w:val="17"/>
              </w:rPr>
              <w:t>Primary Goal</w:t>
            </w:r>
          </w:p>
        </w:tc>
        <w:tc>
          <w:tcPr>
            <w:tcW w:type="dxa" w:w="5184"/>
          </w:tcPr>
          <w:p>
            <w:r>
              <w:rPr>
                <w:sz w:val="17"/>
              </w:rPr>
              <w:t>정상 DNS와 공격 DNS의 행동 차이를 탐색하고, 이후 분류/이상탐지 모델의 Feature 후보를 선정</w:t>
            </w:r>
          </w:p>
        </w:tc>
      </w:tr>
      <w:tr>
        <w:tc>
          <w:tcPr>
            <w:tcW w:type="dxa" w:w="5184"/>
          </w:tcPr>
          <w:p>
            <w:r>
              <w:rPr>
                <w:sz w:val="17"/>
              </w:rPr>
              <w:t>분석 대상</w:t>
            </w:r>
          </w:p>
        </w:tc>
        <w:tc>
          <w:tcPr>
            <w:tcW w:type="dxa" w:w="5184"/>
          </w:tcPr>
          <w:p>
            <w:r>
              <w:rPr>
                <w:sz w:val="17"/>
              </w:rPr>
              <w:t>정상 DNS, 비정상 DNS Query, DNS Tunneling, DNS 기반 Data Exfiltration, 시간 Window 기반 DNS 행동</w:t>
            </w:r>
          </w:p>
        </w:tc>
      </w:tr>
      <w:tr>
        <w:tc>
          <w:tcPr>
            <w:tcW w:type="dxa" w:w="5184"/>
          </w:tcPr>
          <w:p>
            <w:r>
              <w:rPr>
                <w:sz w:val="17"/>
              </w:rPr>
              <w:t>Stateless</w:t>
            </w:r>
          </w:p>
        </w:tc>
        <w:tc>
          <w:tcPr>
            <w:tcW w:type="dxa" w:w="5184"/>
          </w:tcPr>
          <w:p>
            <w:r>
              <w:rPr>
                <w:sz w:val="17"/>
              </w:rPr>
              <w:t>단일 DNS Query의 문자열 구조와 형태 기반 특징</w:t>
            </w:r>
          </w:p>
        </w:tc>
      </w:tr>
      <w:tr>
        <w:tc>
          <w:tcPr>
            <w:tcW w:type="dxa" w:w="5184"/>
          </w:tcPr>
          <w:p>
            <w:r>
              <w:rPr>
                <w:sz w:val="17"/>
              </w:rPr>
              <w:t>Stateful</w:t>
            </w:r>
          </w:p>
        </w:tc>
        <w:tc>
          <w:tcPr>
            <w:tcW w:type="dxa" w:w="5184"/>
          </w:tcPr>
          <w:p>
            <w:r>
              <w:rPr>
                <w:sz w:val="17"/>
              </w:rPr>
              <w:t>여러 DNS 요청을 Window 단위로 누적해 계산한 행동 특징</w:t>
            </w:r>
          </w:p>
        </w:tc>
      </w:tr>
      <w:tr>
        <w:tc>
          <w:tcPr>
            <w:tcW w:type="dxa" w:w="5184"/>
          </w:tcPr>
          <w:p>
            <w:r>
              <w:rPr>
                <w:sz w:val="17"/>
              </w:rPr>
              <w:t>후속 모델</w:t>
            </w:r>
          </w:p>
        </w:tc>
        <w:tc>
          <w:tcPr>
            <w:tcW w:type="dxa" w:w="5184"/>
          </w:tcPr>
          <w:p>
            <w:r>
              <w:rPr>
                <w:sz w:val="17"/>
              </w:rPr>
              <w:t>RandomForest / XGBoost / LightGBM (Supervised), IsolationForest (Unsupervised)</w:t>
            </w:r>
          </w:p>
        </w:tc>
      </w:tr>
      <w:tr>
        <w:tc>
          <w:tcPr>
            <w:tcW w:type="dxa" w:w="5184"/>
          </w:tcPr>
          <w:p>
            <w:r>
              <w:rPr>
                <w:sz w:val="17"/>
              </w:rPr>
              <w:t>현재 범위</w:t>
            </w:r>
          </w:p>
        </w:tc>
        <w:tc>
          <w:tcPr>
            <w:tcW w:type="dxa" w:w="5184"/>
          </w:tcPr>
          <w:p>
            <w:r>
              <w:rPr>
                <w:sz w:val="17"/>
              </w:rPr>
              <w:t>대표 비교: benign_1 vs heavy_text 공격 데이터 기반 1차 EDA</w:t>
            </w:r>
          </w:p>
        </w:tc>
      </w:tr>
    </w:tbl>
    <w:p>
      <w:r>
        <w:t>본 보고서는 팀 참고자료의 EDA 구성 방식을 참고하여, Feature를 행동 영역별로 묶고 “관찰 → 해석 → 모델링 후보” 흐름으로 정리하였다.</w:t>
      </w:r>
    </w:p>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EDA에서 차이가 크게 보이는 Feature는 중요도 확정이 아니라, 모델링 단계에서 검증할 후보 Feature이다.</w:t>
            </w:r>
          </w:p>
        </w:tc>
      </w:tr>
    </w:tbl>
    <w:p>
      <w:r>
        <w:br w:type="page"/>
      </w:r>
    </w:p>
    <w:p>
      <w:pPr>
        <w:spacing w:after="160"/>
      </w:pPr>
      <w:r>
        <w:rPr>
          <w:b/>
          <w:color w:val="123B63"/>
          <w:sz w:val="44"/>
        </w:rPr>
        <w:t>1. Executive Summary</w:t>
      </w:r>
    </w:p>
    <w:p>
      <w:r>
        <w:t>대표 Stateless 비교에서 공격 DNS는 정상 DNS보다 숫자 문자 수, 서브도메인 길이, FQDN 문자 수, Label 수, 특수문자 수, 전체 도메인 길이가 전반적으로 높게 나타났다. 반면 Entropy 평균은 거의 차이가 없어 단독 구분력이 낮은 후보로 관찰되었다.</w:t>
      </w:r>
    </w:p>
    <w:p>
      <w:r>
        <w:t>Stateful 비교에서는 TTL 평균과 TTL 분산에서 큰 차이가 나타났다. 정상 데이터의 평균 TTL은 약 92.20, 공격 데이터는 약 12.15였으며, TTL 분산은 정상 약 2.807, 공격 약 0.003이었다. Window 기반 DNS 행동이 정상/공격 구분에 중요한 후보가 될 수 있음을 시사한다.</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B63"/>
          </w:tcPr>
          <w:p>
            <w:r>
              <w:rPr>
                <w:b/>
                <w:color w:val="FFFFFF"/>
                <w:sz w:val="18"/>
              </w:rPr>
              <w:t>Feature</w:t>
            </w:r>
          </w:p>
        </w:tc>
        <w:tc>
          <w:tcPr>
            <w:tcW w:type="dxa" w:w="2592"/>
            <w:shd w:fill="123B63"/>
          </w:tcPr>
          <w:p>
            <w:r>
              <w:rPr>
                <w:b/>
                <w:color w:val="FFFFFF"/>
                <w:sz w:val="18"/>
              </w:rPr>
              <w:t>Benign</w:t>
            </w:r>
          </w:p>
        </w:tc>
        <w:tc>
          <w:tcPr>
            <w:tcW w:type="dxa" w:w="2592"/>
            <w:shd w:fill="123B63"/>
          </w:tcPr>
          <w:p>
            <w:r>
              <w:rPr>
                <w:b/>
                <w:color w:val="FFFFFF"/>
                <w:sz w:val="18"/>
              </w:rPr>
              <w:t>Attack</w:t>
            </w:r>
          </w:p>
        </w:tc>
        <w:tc>
          <w:tcPr>
            <w:tcW w:type="dxa" w:w="2592"/>
            <w:shd w:fill="123B63"/>
          </w:tcPr>
          <w:p>
            <w:r>
              <w:rPr>
                <w:b/>
                <w:color w:val="FFFFFF"/>
                <w:sz w:val="18"/>
              </w:rPr>
              <w:t>1차 관찰</w:t>
            </w:r>
          </w:p>
        </w:tc>
      </w:tr>
      <w:tr>
        <w:tc>
          <w:tcPr>
            <w:tcW w:type="dxa" w:w="2592"/>
          </w:tcPr>
          <w:p>
            <w:r>
              <w:rPr>
                <w:sz w:val="17"/>
              </w:rPr>
              <w:t>numeric</w:t>
            </w:r>
          </w:p>
        </w:tc>
        <w:tc>
          <w:tcPr>
            <w:tcW w:type="dxa" w:w="2592"/>
          </w:tcPr>
          <w:p>
            <w:r>
              <w:rPr>
                <w:sz w:val="17"/>
              </w:rPr>
              <w:t>3.97</w:t>
            </w:r>
          </w:p>
        </w:tc>
        <w:tc>
          <w:tcPr>
            <w:tcW w:type="dxa" w:w="2592"/>
          </w:tcPr>
          <w:p>
            <w:r>
              <w:rPr>
                <w:sz w:val="17"/>
              </w:rPr>
              <w:t>8.93</w:t>
            </w:r>
          </w:p>
        </w:tc>
        <w:tc>
          <w:tcPr>
            <w:tcW w:type="dxa" w:w="2592"/>
          </w:tcPr>
          <w:p>
            <w:r>
              <w:rPr>
                <w:sz w:val="17"/>
              </w:rPr>
              <w:t>공격 Query에서 숫자 기반 문자열 증가</w:t>
            </w:r>
          </w:p>
        </w:tc>
      </w:tr>
      <w:tr>
        <w:tc>
          <w:tcPr>
            <w:tcW w:type="dxa" w:w="2592"/>
          </w:tcPr>
          <w:p>
            <w:r>
              <w:rPr>
                <w:sz w:val="17"/>
              </w:rPr>
              <w:t>subdomain_length</w:t>
            </w:r>
          </w:p>
        </w:tc>
        <w:tc>
          <w:tcPr>
            <w:tcW w:type="dxa" w:w="2592"/>
          </w:tcPr>
          <w:p>
            <w:r>
              <w:rPr>
                <w:sz w:val="17"/>
              </w:rPr>
              <w:t>4.02</w:t>
            </w:r>
          </w:p>
        </w:tc>
        <w:tc>
          <w:tcPr>
            <w:tcW w:type="dxa" w:w="2592"/>
          </w:tcPr>
          <w:p>
            <w:r>
              <w:rPr>
                <w:sz w:val="17"/>
              </w:rPr>
              <w:t>8.07</w:t>
            </w:r>
          </w:p>
        </w:tc>
        <w:tc>
          <w:tcPr>
            <w:tcW w:type="dxa" w:w="2592"/>
          </w:tcPr>
          <w:p>
            <w:r>
              <w:rPr>
                <w:sz w:val="17"/>
              </w:rPr>
              <w:t>서브도메인 영역 확장</w:t>
            </w:r>
          </w:p>
        </w:tc>
      </w:tr>
      <w:tr>
        <w:tc>
          <w:tcPr>
            <w:tcW w:type="dxa" w:w="2592"/>
          </w:tcPr>
          <w:p>
            <w:r>
              <w:rPr>
                <w:sz w:val="17"/>
              </w:rPr>
              <w:t>FQDN_count</w:t>
            </w:r>
          </w:p>
        </w:tc>
        <w:tc>
          <w:tcPr>
            <w:tcW w:type="dxa" w:w="2592"/>
          </w:tcPr>
          <w:p>
            <w:r>
              <w:rPr>
                <w:sz w:val="17"/>
              </w:rPr>
              <w:t>18.45</w:t>
            </w:r>
          </w:p>
        </w:tc>
        <w:tc>
          <w:tcPr>
            <w:tcW w:type="dxa" w:w="2592"/>
          </w:tcPr>
          <w:p>
            <w:r>
              <w:rPr>
                <w:sz w:val="17"/>
              </w:rPr>
              <w:t>25.33</w:t>
            </w:r>
          </w:p>
        </w:tc>
        <w:tc>
          <w:tcPr>
            <w:tcW w:type="dxa" w:w="2592"/>
          </w:tcPr>
          <w:p>
            <w:r>
              <w:rPr>
                <w:sz w:val="17"/>
              </w:rPr>
              <w:t>DNS 이름 길이 증가</w:t>
            </w:r>
          </w:p>
        </w:tc>
      </w:tr>
      <w:tr>
        <w:tc>
          <w:tcPr>
            <w:tcW w:type="dxa" w:w="2592"/>
          </w:tcPr>
          <w:p>
            <w:r>
              <w:rPr>
                <w:sz w:val="17"/>
              </w:rPr>
              <w:t>ttl_mean</w:t>
            </w:r>
          </w:p>
        </w:tc>
        <w:tc>
          <w:tcPr>
            <w:tcW w:type="dxa" w:w="2592"/>
          </w:tcPr>
          <w:p>
            <w:r>
              <w:rPr>
                <w:sz w:val="17"/>
              </w:rPr>
              <w:t>92.20</w:t>
            </w:r>
          </w:p>
        </w:tc>
        <w:tc>
          <w:tcPr>
            <w:tcW w:type="dxa" w:w="2592"/>
          </w:tcPr>
          <w:p>
            <w:r>
              <w:rPr>
                <w:sz w:val="17"/>
              </w:rPr>
              <w:t>12.15</w:t>
            </w:r>
          </w:p>
        </w:tc>
        <w:tc>
          <w:tcPr>
            <w:tcW w:type="dxa" w:w="2592"/>
          </w:tcPr>
          <w:p>
            <w:r>
              <w:rPr>
                <w:sz w:val="17"/>
              </w:rPr>
              <w:t>공격 Window에서 낮은 TTL 패턴</w:t>
            </w:r>
          </w:p>
        </w:tc>
      </w:tr>
      <w:tr>
        <w:tc>
          <w:tcPr>
            <w:tcW w:type="dxa" w:w="2592"/>
          </w:tcPr>
          <w:p>
            <w:r>
              <w:rPr>
                <w:sz w:val="17"/>
              </w:rPr>
              <w:t>ttl_variance</w:t>
            </w:r>
          </w:p>
        </w:tc>
        <w:tc>
          <w:tcPr>
            <w:tcW w:type="dxa" w:w="2592"/>
          </w:tcPr>
          <w:p>
            <w:r>
              <w:rPr>
                <w:sz w:val="17"/>
              </w:rPr>
              <w:t>2.807</w:t>
            </w:r>
          </w:p>
        </w:tc>
        <w:tc>
          <w:tcPr>
            <w:tcW w:type="dxa" w:w="2592"/>
          </w:tcPr>
          <w:p>
            <w:r>
              <w:rPr>
                <w:sz w:val="17"/>
              </w:rPr>
              <w:t>0.003</w:t>
            </w:r>
          </w:p>
        </w:tc>
        <w:tc>
          <w:tcPr>
            <w:tcW w:type="dxa" w:w="2592"/>
          </w:tcPr>
          <w:p>
            <w:r>
              <w:rPr>
                <w:sz w:val="17"/>
              </w:rPr>
              <w:t>공격 Window의 매우 낮은 TTL 변동성</w:t>
            </w:r>
          </w:p>
        </w:tc>
      </w:tr>
      <w:tr>
        <w:tc>
          <w:tcPr>
            <w:tcW w:type="dxa" w:w="2592"/>
          </w:tcPr>
          <w:p>
            <w:r>
              <w:rPr>
                <w:sz w:val="17"/>
              </w:rPr>
              <w:t>entropy</w:t>
            </w:r>
          </w:p>
        </w:tc>
        <w:tc>
          <w:tcPr>
            <w:tcW w:type="dxa" w:w="2592"/>
          </w:tcPr>
          <w:p>
            <w:r>
              <w:rPr>
                <w:sz w:val="17"/>
              </w:rPr>
              <w:t>2.4389</w:t>
            </w:r>
          </w:p>
        </w:tc>
        <w:tc>
          <w:tcPr>
            <w:tcW w:type="dxa" w:w="2592"/>
          </w:tcPr>
          <w:p>
            <w:r>
              <w:rPr>
                <w:sz w:val="17"/>
              </w:rPr>
              <w:t>2.4416</w:t>
            </w:r>
          </w:p>
        </w:tc>
        <w:tc>
          <w:tcPr>
            <w:tcW w:type="dxa" w:w="2592"/>
          </w:tcPr>
          <w:p>
            <w:r>
              <w:rPr>
                <w:sz w:val="17"/>
              </w:rPr>
              <w:t>평균 차이 거의 없음</w:t>
            </w:r>
          </w:p>
        </w:tc>
      </w:tr>
    </w:tbl>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현재 결과는 대표 파일 비교이므로 “공격 전체의 일반 규칙”이 아니라 Feature 후보를 좁히는 1차 근거로 사용한다.</w:t>
            </w:r>
          </w:p>
        </w:tc>
      </w:tr>
    </w:tbl>
    <w:p>
      <w:r>
        <w:br w:type="page"/>
      </w:r>
    </w:p>
    <w:p>
      <w:pPr>
        <w:spacing w:after="160"/>
      </w:pPr>
      <w:r>
        <w:rPr>
          <w:b/>
          <w:color w:val="123B63"/>
          <w:sz w:val="44"/>
        </w:rPr>
        <w:t>2. 분석 프레임</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3B63"/>
          </w:tcPr>
          <w:p>
            <w:r>
              <w:rPr>
                <w:b/>
                <w:color w:val="FFFFFF"/>
                <w:sz w:val="18"/>
              </w:rPr>
              <w:t>분석 영역</w:t>
            </w:r>
          </w:p>
        </w:tc>
        <w:tc>
          <w:tcPr>
            <w:tcW w:type="dxa" w:w="3456"/>
            <w:shd w:fill="123B63"/>
          </w:tcPr>
          <w:p>
            <w:r>
              <w:rPr>
                <w:b/>
                <w:color w:val="FFFFFF"/>
                <w:sz w:val="18"/>
              </w:rPr>
              <w:t>대표 Feature</w:t>
            </w:r>
          </w:p>
        </w:tc>
        <w:tc>
          <w:tcPr>
            <w:tcW w:type="dxa" w:w="3456"/>
            <w:shd w:fill="123B63"/>
          </w:tcPr>
          <w:p>
            <w:r>
              <w:rPr>
                <w:b/>
                <w:color w:val="FFFFFF"/>
                <w:sz w:val="18"/>
              </w:rPr>
              <w:t>분석 관점</w:t>
            </w:r>
          </w:p>
        </w:tc>
      </w:tr>
      <w:tr>
        <w:tc>
          <w:tcPr>
            <w:tcW w:type="dxa" w:w="3456"/>
          </w:tcPr>
          <w:p>
            <w:r>
              <w:rPr>
                <w:sz w:val="17"/>
              </w:rPr>
              <w:t>Query 문자열 구조</w:t>
            </w:r>
          </w:p>
        </w:tc>
        <w:tc>
          <w:tcPr>
            <w:tcW w:type="dxa" w:w="3456"/>
          </w:tcPr>
          <w:p>
            <w:r>
              <w:rPr>
                <w:sz w:val="17"/>
              </w:rPr>
              <w:t>FQDN_count, subdomain_length, len</w:t>
            </w:r>
          </w:p>
        </w:tc>
        <w:tc>
          <w:tcPr>
            <w:tcW w:type="dxa" w:w="3456"/>
          </w:tcPr>
          <w:p>
            <w:r>
              <w:rPr>
                <w:sz w:val="17"/>
              </w:rPr>
              <w:t>공격 DNS가 더 긴 문자열 구조를 보이는지 확인</w:t>
            </w:r>
          </w:p>
        </w:tc>
      </w:tr>
      <w:tr>
        <w:tc>
          <w:tcPr>
            <w:tcW w:type="dxa" w:w="3456"/>
          </w:tcPr>
          <w:p>
            <w:r>
              <w:rPr>
                <w:sz w:val="17"/>
              </w:rPr>
              <w:t>문자 구성</w:t>
            </w:r>
          </w:p>
        </w:tc>
        <w:tc>
          <w:tcPr>
            <w:tcW w:type="dxa" w:w="3456"/>
          </w:tcPr>
          <w:p>
            <w:r>
              <w:rPr>
                <w:sz w:val="17"/>
              </w:rPr>
              <w:t>numeric, special, upper/lower</w:t>
            </w:r>
          </w:p>
        </w:tc>
        <w:tc>
          <w:tcPr>
            <w:tcW w:type="dxa" w:w="3456"/>
          </w:tcPr>
          <w:p>
            <w:r>
              <w:rPr>
                <w:sz w:val="17"/>
              </w:rPr>
              <w:t>인코딩 또는 비정상 문자열 패턴 후보 확인</w:t>
            </w:r>
          </w:p>
        </w:tc>
      </w:tr>
      <w:tr>
        <w:tc>
          <w:tcPr>
            <w:tcW w:type="dxa" w:w="3456"/>
          </w:tcPr>
          <w:p>
            <w:r>
              <w:rPr>
                <w:sz w:val="17"/>
              </w:rPr>
              <w:t>도메인 구조</w:t>
            </w:r>
          </w:p>
        </w:tc>
        <w:tc>
          <w:tcPr>
            <w:tcW w:type="dxa" w:w="3456"/>
          </w:tcPr>
          <w:p>
            <w:r>
              <w:rPr>
                <w:sz w:val="17"/>
              </w:rPr>
              <w:t>labels, labels_max, labels_average</w:t>
            </w:r>
          </w:p>
        </w:tc>
        <w:tc>
          <w:tcPr>
            <w:tcW w:type="dxa" w:w="3456"/>
          </w:tcPr>
          <w:p>
            <w:r>
              <w:rPr>
                <w:sz w:val="17"/>
              </w:rPr>
              <w:t>도메인 계층 구조의 복잡도 확인</w:t>
            </w:r>
          </w:p>
        </w:tc>
      </w:tr>
      <w:tr>
        <w:tc>
          <w:tcPr>
            <w:tcW w:type="dxa" w:w="3456"/>
          </w:tcPr>
          <w:p>
            <w:r>
              <w:rPr>
                <w:sz w:val="17"/>
              </w:rPr>
              <w:t>문자 무작위성</w:t>
            </w:r>
          </w:p>
        </w:tc>
        <w:tc>
          <w:tcPr>
            <w:tcW w:type="dxa" w:w="3456"/>
          </w:tcPr>
          <w:p>
            <w:r>
              <w:rPr>
                <w:sz w:val="17"/>
              </w:rPr>
              <w:t>entropy</w:t>
            </w:r>
          </w:p>
        </w:tc>
        <w:tc>
          <w:tcPr>
            <w:tcW w:type="dxa" w:w="3456"/>
          </w:tcPr>
          <w:p>
            <w:r>
              <w:rPr>
                <w:sz w:val="17"/>
              </w:rPr>
              <w:t>문자열 복잡도가 정상과 공격에서 달라지는지 확인</w:t>
            </w:r>
          </w:p>
        </w:tc>
      </w:tr>
      <w:tr>
        <w:tc>
          <w:tcPr>
            <w:tcW w:type="dxa" w:w="3456"/>
          </w:tcPr>
          <w:p>
            <w:r>
              <w:rPr>
                <w:sz w:val="17"/>
              </w:rPr>
              <w:t>TTL 행동</w:t>
            </w:r>
          </w:p>
        </w:tc>
        <w:tc>
          <w:tcPr>
            <w:tcW w:type="dxa" w:w="3456"/>
          </w:tcPr>
          <w:p>
            <w:r>
              <w:rPr>
                <w:sz w:val="17"/>
              </w:rPr>
              <w:t>ttl_mean, ttl_variance, unique_ttl_count</w:t>
            </w:r>
          </w:p>
        </w:tc>
        <w:tc>
          <w:tcPr>
            <w:tcW w:type="dxa" w:w="3456"/>
          </w:tcPr>
          <w:p>
            <w:r>
              <w:rPr>
                <w:sz w:val="17"/>
              </w:rPr>
              <w:t>시간 Window 기반 TTL 패턴 차이 확인</w:t>
            </w:r>
          </w:p>
        </w:tc>
      </w:tr>
      <w:tr>
        <w:tc>
          <w:tcPr>
            <w:tcW w:type="dxa" w:w="3456"/>
          </w:tcPr>
          <w:p>
            <w:r>
              <w:rPr>
                <w:sz w:val="17"/>
              </w:rPr>
              <w:t>메타/제한</w:t>
            </w:r>
          </w:p>
        </w:tc>
        <w:tc>
          <w:tcPr>
            <w:tcW w:type="dxa" w:w="3456"/>
          </w:tcPr>
          <w:p>
            <w:r>
              <w:rPr>
                <w:sz w:val="17"/>
              </w:rPr>
              <w:t>timestamp, distinct_ip 등</w:t>
            </w:r>
          </w:p>
        </w:tc>
        <w:tc>
          <w:tcPr>
            <w:tcW w:type="dxa" w:w="3456"/>
          </w:tcPr>
          <w:p>
            <w:r>
              <w:rPr>
                <w:sz w:val="17"/>
              </w:rPr>
              <w:t>분석 가능 여부와 정보량 점검</w:t>
            </w:r>
          </w:p>
        </w:tc>
      </w:tr>
    </w:tbl>
    <w:p>
      <w:pPr>
        <w:jc w:val="center"/>
      </w:pPr>
      <w:r>
        <w:drawing>
          <wp:inline xmlns:a="http://schemas.openxmlformats.org/drawingml/2006/main" xmlns:pic="http://schemas.openxmlformats.org/drawingml/2006/picture">
            <wp:extent cx="5257800" cy="2989517"/>
            <wp:docPr id="1" name="Picture 1"/>
            <wp:cNvGraphicFramePr>
              <a:graphicFrameLocks noChangeAspect="1"/>
            </wp:cNvGraphicFramePr>
            <a:graphic>
              <a:graphicData uri="http://schemas.openxmlformats.org/drawingml/2006/picture">
                <pic:pic>
                  <pic:nvPicPr>
                    <pic:cNvPr id="0" name="00_rows.png"/>
                    <pic:cNvPicPr/>
                  </pic:nvPicPr>
                  <pic:blipFill>
                    <a:blip r:embed="rId11"/>
                    <a:stretch>
                      <a:fillRect/>
                    </a:stretch>
                  </pic:blipFill>
                  <pic:spPr>
                    <a:xfrm>
                      <a:off x="0" y="0"/>
                      <a:ext cx="5257800" cy="2989517"/>
                    </a:xfrm>
                    <a:prstGeom prst="rect"/>
                  </pic:spPr>
                </pic:pic>
              </a:graphicData>
            </a:graphic>
          </wp:inline>
        </w:drawing>
      </w:r>
    </w:p>
    <w:p>
      <w:pPr>
        <w:jc w:val="center"/>
      </w:pPr>
      <w:r>
        <w:rPr>
          <w:i/>
          <w:color w:val="5A5A5A"/>
          <w:sz w:val="17"/>
        </w:rPr>
        <w:t>그림 1. 대표 EDA 비교 데이터 규모</w:t>
      </w:r>
    </w:p>
    <w:p>
      <w:r>
        <w:br w:type="page"/>
      </w:r>
    </w:p>
    <w:p>
      <w:pPr>
        <w:spacing w:after="160"/>
      </w:pPr>
      <w:r>
        <w:rPr>
          <w:b/>
          <w:color w:val="123B63"/>
          <w:sz w:val="44"/>
        </w:rPr>
        <w:t>3. Stateless DNS Query 분석</w:t>
      </w:r>
    </w:p>
    <w:p>
      <w:pPr>
        <w:spacing w:after="200"/>
      </w:pPr>
      <w:r>
        <w:rPr>
          <w:color w:val="505A64"/>
          <w:sz w:val="20"/>
        </w:rPr>
        <w:t>3.1 Numeric / Subdomain Length / FQDN</w:t>
      </w:r>
    </w:p>
    <w:p>
      <w:pPr>
        <w:jc w:val="center"/>
      </w:pPr>
      <w:r>
        <w:drawing>
          <wp:inline xmlns:a="http://schemas.openxmlformats.org/drawingml/2006/main" xmlns:pic="http://schemas.openxmlformats.org/drawingml/2006/picture">
            <wp:extent cx="5257800" cy="2983865"/>
            <wp:docPr id="2" name="Picture 2"/>
            <wp:cNvGraphicFramePr>
              <a:graphicFrameLocks noChangeAspect="1"/>
            </wp:cNvGraphicFramePr>
            <a:graphic>
              <a:graphicData uri="http://schemas.openxmlformats.org/drawingml/2006/picture">
                <pic:pic>
                  <pic:nvPicPr>
                    <pic:cNvPr id="0" name="01_numeric.png"/>
                    <pic:cNvPicPr/>
                  </pic:nvPicPr>
                  <pic:blipFill>
                    <a:blip r:embed="rId12"/>
                    <a:stretch>
                      <a:fillRect/>
                    </a:stretch>
                  </pic:blipFill>
                  <pic:spPr>
                    <a:xfrm>
                      <a:off x="0" y="0"/>
                      <a:ext cx="5257800" cy="2983865"/>
                    </a:xfrm>
                    <a:prstGeom prst="rect"/>
                  </pic:spPr>
                </pic:pic>
              </a:graphicData>
            </a:graphic>
          </wp:inline>
        </w:drawing>
      </w:r>
    </w:p>
    <w:p>
      <w:pPr>
        <w:jc w:val="center"/>
      </w:pPr>
      <w:r>
        <w:rPr>
          <w:i/>
          <w:color w:val="5A5A5A"/>
          <w:sz w:val="17"/>
        </w:rPr>
        <w:t>그림 2. 평균 숫자 문자 수</w:t>
      </w:r>
    </w:p>
    <w:p>
      <w:r>
        <w:t>공격 DNS의 numeric 평균은 약 8.93으로 정상 약 3.97보다 높았다. 비정상 Query에서 숫자 기반 문자열이 더 많이 사용되는 경향을 보여준다.</w:t>
      </w:r>
    </w:p>
    <w:p>
      <w:pPr>
        <w:jc w:val="center"/>
      </w:pPr>
      <w:r>
        <w:drawing>
          <wp:inline xmlns:a="http://schemas.openxmlformats.org/drawingml/2006/main" xmlns:pic="http://schemas.openxmlformats.org/drawingml/2006/picture">
            <wp:extent cx="5257800" cy="2985911"/>
            <wp:docPr id="3" name="Picture 3"/>
            <wp:cNvGraphicFramePr>
              <a:graphicFrameLocks noChangeAspect="1"/>
            </wp:cNvGraphicFramePr>
            <a:graphic>
              <a:graphicData uri="http://schemas.openxmlformats.org/drawingml/2006/picture">
                <pic:pic>
                  <pic:nvPicPr>
                    <pic:cNvPr id="0" name="02_subdomain.png"/>
                    <pic:cNvPicPr/>
                  </pic:nvPicPr>
                  <pic:blipFill>
                    <a:blip r:embed="rId13"/>
                    <a:stretch>
                      <a:fillRect/>
                    </a:stretch>
                  </pic:blipFill>
                  <pic:spPr>
                    <a:xfrm>
                      <a:off x="0" y="0"/>
                      <a:ext cx="5257800" cy="2985911"/>
                    </a:xfrm>
                    <a:prstGeom prst="rect"/>
                  </pic:spPr>
                </pic:pic>
              </a:graphicData>
            </a:graphic>
          </wp:inline>
        </w:drawing>
      </w:r>
    </w:p>
    <w:p>
      <w:pPr>
        <w:jc w:val="center"/>
      </w:pPr>
      <w:r>
        <w:rPr>
          <w:i/>
          <w:color w:val="5A5A5A"/>
          <w:sz w:val="17"/>
        </w:rPr>
        <w:t>그림 3. 평균 서브도메인 길이</w:t>
      </w:r>
    </w:p>
    <w:p>
      <w:r>
        <w:t>공격 DNS의 평균 서브도메인 길이는 약 8.07로 정상 약 4.02의 약 2배였다. Tunneling 또는 Data Exfiltration에서 추가 데이터가 서브도메인 영역에 포함될 가능성과 연결해 볼 수 있다.</w:t>
      </w:r>
    </w:p>
    <w:p>
      <w:r>
        <w:br w:type="page"/>
      </w:r>
    </w:p>
    <w:p>
      <w:pPr>
        <w:spacing w:after="160"/>
      </w:pPr>
      <w:r>
        <w:rPr>
          <w:b/>
          <w:color w:val="123B63"/>
          <w:sz w:val="44"/>
        </w:rPr>
        <w:t>3. Stateless DNS Query 분석</w:t>
      </w:r>
    </w:p>
    <w:p>
      <w:pPr>
        <w:spacing w:after="200"/>
      </w:pPr>
      <w:r>
        <w:rPr>
          <w:color w:val="505A64"/>
          <w:sz w:val="20"/>
        </w:rPr>
        <w:t>3.2 FQDN / Label 구조</w:t>
      </w:r>
    </w:p>
    <w:p>
      <w:pPr>
        <w:jc w:val="center"/>
      </w:pPr>
      <w:r>
        <w:drawing>
          <wp:inline xmlns:a="http://schemas.openxmlformats.org/drawingml/2006/main" xmlns:pic="http://schemas.openxmlformats.org/drawingml/2006/picture">
            <wp:extent cx="5257800" cy="2985911"/>
            <wp:docPr id="4" name="Picture 4"/>
            <wp:cNvGraphicFramePr>
              <a:graphicFrameLocks noChangeAspect="1"/>
            </wp:cNvGraphicFramePr>
            <a:graphic>
              <a:graphicData uri="http://schemas.openxmlformats.org/drawingml/2006/picture">
                <pic:pic>
                  <pic:nvPicPr>
                    <pic:cNvPr id="0" name="03_fqdn.png"/>
                    <pic:cNvPicPr/>
                  </pic:nvPicPr>
                  <pic:blipFill>
                    <a:blip r:embed="rId14"/>
                    <a:stretch>
                      <a:fillRect/>
                    </a:stretch>
                  </pic:blipFill>
                  <pic:spPr>
                    <a:xfrm>
                      <a:off x="0" y="0"/>
                      <a:ext cx="5257800" cy="2985911"/>
                    </a:xfrm>
                    <a:prstGeom prst="rect"/>
                  </pic:spPr>
                </pic:pic>
              </a:graphicData>
            </a:graphic>
          </wp:inline>
        </w:drawing>
      </w:r>
    </w:p>
    <w:p>
      <w:pPr>
        <w:jc w:val="center"/>
      </w:pPr>
      <w:r>
        <w:rPr>
          <w:i/>
          <w:color w:val="5A5A5A"/>
          <w:sz w:val="17"/>
        </w:rPr>
        <w:t>그림 4. 평균 FQDN 문자 수</w:t>
      </w:r>
    </w:p>
    <w:p>
      <w:r>
        <w:t>공격 DNS의 평균 FQDN 문자 수는 약 25.33, 정상은 약 18.45로 공격 Query에서 더 긴 DNS 이름이 관찰되었다.</w:t>
      </w:r>
    </w:p>
    <w:p>
      <w:pPr>
        <w:jc w:val="center"/>
      </w:pPr>
      <w:r>
        <w:drawing>
          <wp:inline xmlns:a="http://schemas.openxmlformats.org/drawingml/2006/main" xmlns:pic="http://schemas.openxmlformats.org/drawingml/2006/picture">
            <wp:extent cx="5257800" cy="2985911"/>
            <wp:docPr id="5" name="Picture 5"/>
            <wp:cNvGraphicFramePr>
              <a:graphicFrameLocks noChangeAspect="1"/>
            </wp:cNvGraphicFramePr>
            <a:graphic>
              <a:graphicData uri="http://schemas.openxmlformats.org/drawingml/2006/picture">
                <pic:pic>
                  <pic:nvPicPr>
                    <pic:cNvPr id="0" name="04_labels.png"/>
                    <pic:cNvPicPr/>
                  </pic:nvPicPr>
                  <pic:blipFill>
                    <a:blip r:embed="rId15"/>
                    <a:stretch>
                      <a:fillRect/>
                    </a:stretch>
                  </pic:blipFill>
                  <pic:spPr>
                    <a:xfrm>
                      <a:off x="0" y="0"/>
                      <a:ext cx="5257800" cy="2985911"/>
                    </a:xfrm>
                    <a:prstGeom prst="rect"/>
                  </pic:spPr>
                </pic:pic>
              </a:graphicData>
            </a:graphic>
          </wp:inline>
        </w:drawing>
      </w:r>
    </w:p>
    <w:p>
      <w:pPr>
        <w:jc w:val="center"/>
      </w:pPr>
      <w:r>
        <w:rPr>
          <w:i/>
          <w:color w:val="5A5A5A"/>
          <w:sz w:val="17"/>
        </w:rPr>
        <w:t>그림 5. 평균 Label 수</w:t>
      </w:r>
    </w:p>
    <w:p>
      <w:r>
        <w:t>공격 DNS의 평균 Label 수는 약 5.71, 정상은 약 3.84로, 공격 DNS에서 도메인 구조가 더 여러 단계로 분리되는 경향을 보였다.</w:t>
      </w:r>
    </w:p>
    <w:p>
      <w:r>
        <w:br w:type="page"/>
      </w:r>
    </w:p>
    <w:p>
      <w:pPr>
        <w:spacing w:after="160"/>
      </w:pPr>
      <w:r>
        <w:rPr>
          <w:b/>
          <w:color w:val="123B63"/>
          <w:sz w:val="44"/>
        </w:rPr>
        <w:t>3. Stateless DNS Query 분석</w:t>
      </w:r>
    </w:p>
    <w:p>
      <w:pPr>
        <w:spacing w:after="200"/>
      </w:pPr>
      <w:r>
        <w:rPr>
          <w:color w:val="505A64"/>
          <w:sz w:val="20"/>
        </w:rPr>
        <w:t>3.3 Special / 전체 도메인 길이</w:t>
      </w:r>
    </w:p>
    <w:p>
      <w:pPr>
        <w:jc w:val="center"/>
      </w:pPr>
      <w:r>
        <w:drawing>
          <wp:inline xmlns:a="http://schemas.openxmlformats.org/drawingml/2006/main" xmlns:pic="http://schemas.openxmlformats.org/drawingml/2006/picture">
            <wp:extent cx="5257800" cy="2985911"/>
            <wp:docPr id="6" name="Picture 6"/>
            <wp:cNvGraphicFramePr>
              <a:graphicFrameLocks noChangeAspect="1"/>
            </wp:cNvGraphicFramePr>
            <a:graphic>
              <a:graphicData uri="http://schemas.openxmlformats.org/drawingml/2006/picture">
                <pic:pic>
                  <pic:nvPicPr>
                    <pic:cNvPr id="0" name="05_special.png"/>
                    <pic:cNvPicPr/>
                  </pic:nvPicPr>
                  <pic:blipFill>
                    <a:blip r:embed="rId16"/>
                    <a:stretch>
                      <a:fillRect/>
                    </a:stretch>
                  </pic:blipFill>
                  <pic:spPr>
                    <a:xfrm>
                      <a:off x="0" y="0"/>
                      <a:ext cx="5257800" cy="2985911"/>
                    </a:xfrm>
                    <a:prstGeom prst="rect"/>
                  </pic:spPr>
                </pic:pic>
              </a:graphicData>
            </a:graphic>
          </wp:inline>
        </w:drawing>
      </w:r>
    </w:p>
    <w:p>
      <w:pPr>
        <w:jc w:val="center"/>
      </w:pPr>
      <w:r>
        <w:rPr>
          <w:i/>
          <w:color w:val="5A5A5A"/>
          <w:sz w:val="17"/>
        </w:rPr>
        <w:t>그림 6. 평균 특수문자 수</w:t>
      </w:r>
    </w:p>
    <w:p>
      <w:r>
        <w:t>공격 DNS의 평균 특수문자 수는 약 5.68로 정상 약 3.30보다 높았다. 문자열 구성 차이를 나타내는 보조 Feature 후보로 볼 수 있다.</w:t>
      </w:r>
    </w:p>
    <w:p>
      <w:pPr>
        <w:jc w:val="center"/>
      </w:pPr>
      <w:r>
        <w:drawing>
          <wp:inline xmlns:a="http://schemas.openxmlformats.org/drawingml/2006/main" xmlns:pic="http://schemas.openxmlformats.org/drawingml/2006/picture">
            <wp:extent cx="5257800" cy="2985911"/>
            <wp:docPr id="7" name="Picture 7"/>
            <wp:cNvGraphicFramePr>
              <a:graphicFrameLocks noChangeAspect="1"/>
            </wp:cNvGraphicFramePr>
            <a:graphic>
              <a:graphicData uri="http://schemas.openxmlformats.org/drawingml/2006/picture">
                <pic:pic>
                  <pic:nvPicPr>
                    <pic:cNvPr id="0" name="06_len.png"/>
                    <pic:cNvPicPr/>
                  </pic:nvPicPr>
                  <pic:blipFill>
                    <a:blip r:embed="rId17"/>
                    <a:stretch>
                      <a:fillRect/>
                    </a:stretch>
                  </pic:blipFill>
                  <pic:spPr>
                    <a:xfrm>
                      <a:off x="0" y="0"/>
                      <a:ext cx="5257800" cy="2985911"/>
                    </a:xfrm>
                    <a:prstGeom prst="rect"/>
                  </pic:spPr>
                </pic:pic>
              </a:graphicData>
            </a:graphic>
          </wp:inline>
        </w:drawing>
      </w:r>
    </w:p>
    <w:p>
      <w:pPr>
        <w:jc w:val="center"/>
      </w:pPr>
      <w:r>
        <w:rPr>
          <w:i/>
          <w:color w:val="5A5A5A"/>
          <w:sz w:val="17"/>
        </w:rPr>
        <w:t>그림 7. 평균 도메인 길이</w:t>
      </w:r>
    </w:p>
    <w:p>
      <w:r>
        <w:t>공격 DNS의 평균 도메인 길이는 약 13.17, 정상은 약 11.28로 공격 데이터에서 전체 문자열이 더 길어지는 경향이 관찰되었다.</w:t>
      </w:r>
    </w:p>
    <w:p>
      <w:r>
        <w:br w:type="page"/>
      </w:r>
    </w:p>
    <w:p>
      <w:pPr>
        <w:spacing w:after="160"/>
      </w:pPr>
      <w:r>
        <w:rPr>
          <w:b/>
          <w:color w:val="123B63"/>
          <w:sz w:val="44"/>
        </w:rPr>
        <w:t>4. 낮은 구분력 후보 확인</w:t>
      </w:r>
    </w:p>
    <w:p>
      <w:pPr>
        <w:spacing w:after="200"/>
      </w:pPr>
      <w:r>
        <w:rPr>
          <w:color w:val="505A64"/>
          <w:sz w:val="20"/>
        </w:rPr>
        <w:t>Entropy 평균 비교</w:t>
      </w:r>
    </w:p>
    <w:p>
      <w:pPr>
        <w:jc w:val="center"/>
      </w:pPr>
      <w:r>
        <w:drawing>
          <wp:inline xmlns:a="http://schemas.openxmlformats.org/drawingml/2006/main" xmlns:pic="http://schemas.openxmlformats.org/drawingml/2006/picture">
            <wp:extent cx="5257800" cy="2990013"/>
            <wp:docPr id="8" name="Picture 8"/>
            <wp:cNvGraphicFramePr>
              <a:graphicFrameLocks noChangeAspect="1"/>
            </wp:cNvGraphicFramePr>
            <a:graphic>
              <a:graphicData uri="http://schemas.openxmlformats.org/drawingml/2006/picture">
                <pic:pic>
                  <pic:nvPicPr>
                    <pic:cNvPr id="0" name="10_entropy.png"/>
                    <pic:cNvPicPr/>
                  </pic:nvPicPr>
                  <pic:blipFill>
                    <a:blip r:embed="rId18"/>
                    <a:stretch>
                      <a:fillRect/>
                    </a:stretch>
                  </pic:blipFill>
                  <pic:spPr>
                    <a:xfrm>
                      <a:off x="0" y="0"/>
                      <a:ext cx="5257800" cy="2990013"/>
                    </a:xfrm>
                    <a:prstGeom prst="rect"/>
                  </pic:spPr>
                </pic:pic>
              </a:graphicData>
            </a:graphic>
          </wp:inline>
        </w:drawing>
      </w:r>
    </w:p>
    <w:p>
      <w:pPr>
        <w:jc w:val="center"/>
      </w:pPr>
      <w:r>
        <w:rPr>
          <w:i/>
          <w:color w:val="5A5A5A"/>
          <w:sz w:val="17"/>
        </w:rPr>
        <w:t>그림 8. 평균 Entropy 비교</w:t>
      </w:r>
    </w:p>
    <w:p>
      <w:r>
        <w:t>Entropy 평균은 정상 약 2.4389, 공격 약 2.4416으로 차이가 매우 작았다. 적어도 이번 대표 비교에서는 Entropy 단독으로 정상/공격을 구분하기 어렵다.</w:t>
      </w:r>
    </w:p>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차이가 거의 없는 결과도 중요하다. 모든 Feature가 탐지에 유용한 것은 아니며, 모델링 단계에서 실제 기여도를 검증해야 한다.</w:t>
            </w:r>
          </w:p>
        </w:tc>
      </w:tr>
    </w:tbl>
    <w:p>
      <w:r>
        <w:br w:type="page"/>
      </w:r>
    </w:p>
    <w:p>
      <w:pPr>
        <w:spacing w:after="160"/>
      </w:pPr>
      <w:r>
        <w:rPr>
          <w:b/>
          <w:color w:val="123B63"/>
          <w:sz w:val="44"/>
        </w:rPr>
        <w:t>5. Stateful / 시간 Window 기반 DNS 행동 분석</w:t>
      </w:r>
    </w:p>
    <w:p>
      <w:pPr>
        <w:spacing w:after="200"/>
      </w:pPr>
      <w:r>
        <w:rPr>
          <w:color w:val="505A64"/>
          <w:sz w:val="20"/>
        </w:rPr>
        <w:t>5.1 TTL 평균과 분산</w:t>
      </w:r>
    </w:p>
    <w:p>
      <w:pPr>
        <w:jc w:val="center"/>
      </w:pPr>
      <w:r>
        <w:drawing>
          <wp:inline xmlns:a="http://schemas.openxmlformats.org/drawingml/2006/main" xmlns:pic="http://schemas.openxmlformats.org/drawingml/2006/picture">
            <wp:extent cx="5257800" cy="2983865"/>
            <wp:docPr id="9" name="Picture 9"/>
            <wp:cNvGraphicFramePr>
              <a:graphicFrameLocks noChangeAspect="1"/>
            </wp:cNvGraphicFramePr>
            <a:graphic>
              <a:graphicData uri="http://schemas.openxmlformats.org/drawingml/2006/picture">
                <pic:pic>
                  <pic:nvPicPr>
                    <pic:cNvPr id="0" name="07_ttl_mean.png"/>
                    <pic:cNvPicPr/>
                  </pic:nvPicPr>
                  <pic:blipFill>
                    <a:blip r:embed="rId19"/>
                    <a:stretch>
                      <a:fillRect/>
                    </a:stretch>
                  </pic:blipFill>
                  <pic:spPr>
                    <a:xfrm>
                      <a:off x="0" y="0"/>
                      <a:ext cx="5257800" cy="2983865"/>
                    </a:xfrm>
                    <a:prstGeom prst="rect"/>
                  </pic:spPr>
                </pic:pic>
              </a:graphicData>
            </a:graphic>
          </wp:inline>
        </w:drawing>
      </w:r>
    </w:p>
    <w:p>
      <w:pPr>
        <w:jc w:val="center"/>
      </w:pPr>
      <w:r>
        <w:rPr>
          <w:i/>
          <w:color w:val="5A5A5A"/>
          <w:sz w:val="17"/>
        </w:rPr>
        <w:t>그림 9. 평균 TTL 비교</w:t>
      </w:r>
    </w:p>
    <w:p>
      <w:r>
        <w:t>정상 DNS의 평균 TTL은 약 92.20, 공격 DNS는 약 12.15로 큰 차이가 나타났다.</w:t>
      </w:r>
    </w:p>
    <w:p>
      <w:pPr>
        <w:jc w:val="center"/>
      </w:pPr>
      <w:r>
        <w:drawing>
          <wp:inline xmlns:a="http://schemas.openxmlformats.org/drawingml/2006/main" xmlns:pic="http://schemas.openxmlformats.org/drawingml/2006/picture">
            <wp:extent cx="5257800" cy="2985911"/>
            <wp:docPr id="10" name="Picture 10"/>
            <wp:cNvGraphicFramePr>
              <a:graphicFrameLocks noChangeAspect="1"/>
            </wp:cNvGraphicFramePr>
            <a:graphic>
              <a:graphicData uri="http://schemas.openxmlformats.org/drawingml/2006/picture">
                <pic:pic>
                  <pic:nvPicPr>
                    <pic:cNvPr id="0" name="08_ttl_variance.png"/>
                    <pic:cNvPicPr/>
                  </pic:nvPicPr>
                  <pic:blipFill>
                    <a:blip r:embed="rId20"/>
                    <a:stretch>
                      <a:fillRect/>
                    </a:stretch>
                  </pic:blipFill>
                  <pic:spPr>
                    <a:xfrm>
                      <a:off x="0" y="0"/>
                      <a:ext cx="5257800" cy="2985911"/>
                    </a:xfrm>
                    <a:prstGeom prst="rect"/>
                  </pic:spPr>
                </pic:pic>
              </a:graphicData>
            </a:graphic>
          </wp:inline>
        </w:drawing>
      </w:r>
    </w:p>
    <w:p>
      <w:pPr>
        <w:jc w:val="center"/>
      </w:pPr>
      <w:r>
        <w:rPr>
          <w:i/>
          <w:color w:val="5A5A5A"/>
          <w:sz w:val="17"/>
        </w:rPr>
        <w:t>그림 10. TTL 분산 비교</w:t>
      </w:r>
    </w:p>
    <w:p>
      <w:r>
        <w:t>정상 DNS의 TTL 분산은 약 2.807, 공격 DNS는 약 0.003으로 공격 데이터의 TTL 변동성이 매우 낮게 나타났다.</w:t>
      </w:r>
    </w:p>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TTL 관련 Feature는 단일 Query보다 Window 기반 행동 차이를 포착하는 주요 후보로 볼 수 있다.</w:t>
            </w:r>
          </w:p>
        </w:tc>
      </w:tr>
    </w:tbl>
    <w:p>
      <w:r>
        <w:br w:type="page"/>
      </w:r>
    </w:p>
    <w:p>
      <w:pPr>
        <w:spacing w:after="160"/>
      </w:pPr>
      <w:r>
        <w:rPr>
          <w:b/>
          <w:color w:val="123B63"/>
          <w:sz w:val="44"/>
        </w:rPr>
        <w:t>5. Stateful / 시간 Window 기반 DNS 행동 분석</w:t>
      </w:r>
    </w:p>
    <w:p>
      <w:pPr>
        <w:spacing w:after="200"/>
      </w:pPr>
      <w:r>
        <w:rPr>
          <w:color w:val="505A64"/>
          <w:sz w:val="20"/>
        </w:rPr>
        <w:t>5.2 unique_ttl 구조와 distinct_ip 점검</w:t>
      </w:r>
    </w:p>
    <w:p>
      <w:pPr>
        <w:jc w:val="center"/>
      </w:pPr>
      <w:r>
        <w:drawing>
          <wp:inline xmlns:a="http://schemas.openxmlformats.org/drawingml/2006/main" xmlns:pic="http://schemas.openxmlformats.org/drawingml/2006/picture">
            <wp:extent cx="5257800" cy="2985911"/>
            <wp:docPr id="11" name="Picture 11"/>
            <wp:cNvGraphicFramePr>
              <a:graphicFrameLocks noChangeAspect="1"/>
            </wp:cNvGraphicFramePr>
            <a:graphic>
              <a:graphicData uri="http://schemas.openxmlformats.org/drawingml/2006/picture">
                <pic:pic>
                  <pic:nvPicPr>
                    <pic:cNvPr id="0" name="09_unique_ttl_count.png"/>
                    <pic:cNvPicPr/>
                  </pic:nvPicPr>
                  <pic:blipFill>
                    <a:blip r:embed="rId21"/>
                    <a:stretch>
                      <a:fillRect/>
                    </a:stretch>
                  </pic:blipFill>
                  <pic:spPr>
                    <a:xfrm>
                      <a:off x="0" y="0"/>
                      <a:ext cx="5257800" cy="2985911"/>
                    </a:xfrm>
                    <a:prstGeom prst="rect"/>
                  </pic:spPr>
                </pic:pic>
              </a:graphicData>
            </a:graphic>
          </wp:inline>
        </w:drawing>
      </w:r>
    </w:p>
    <w:p>
      <w:pPr>
        <w:jc w:val="center"/>
      </w:pPr>
      <w:r>
        <w:rPr>
          <w:i/>
          <w:color w:val="5A5A5A"/>
          <w:sz w:val="17"/>
        </w:rPr>
        <w:t>그림 11. 평균 TTL 항목 수 비교</w:t>
      </w:r>
    </w:p>
    <w:p>
      <w:r>
        <w:t>원본 unique_ttl은 리스트 형태의 문자열이므로, 본 EDA에서는 리스트에 저장된 항목 수를 unique_ttl_count로 변환해 비교하였다. 정상 평균은 약 2.53, 공격 평균은 약 3.76이었다.</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3B63"/>
          </w:tcPr>
          <w:p>
            <w:r>
              <w:rPr>
                <w:b/>
                <w:color w:val="FFFFFF"/>
                <w:sz w:val="18"/>
              </w:rPr>
              <w:t>점검 컬럼</w:t>
            </w:r>
          </w:p>
        </w:tc>
        <w:tc>
          <w:tcPr>
            <w:tcW w:type="dxa" w:w="3456"/>
            <w:shd w:fill="123B63"/>
          </w:tcPr>
          <w:p>
            <w:r>
              <w:rPr>
                <w:b/>
                <w:color w:val="FFFFFF"/>
                <w:sz w:val="18"/>
              </w:rPr>
              <w:t>결과</w:t>
            </w:r>
          </w:p>
        </w:tc>
        <w:tc>
          <w:tcPr>
            <w:tcW w:type="dxa" w:w="3456"/>
            <w:shd w:fill="123B63"/>
          </w:tcPr>
          <w:p>
            <w:r>
              <w:rPr>
                <w:b/>
                <w:color w:val="FFFFFF"/>
                <w:sz w:val="18"/>
              </w:rPr>
              <w:t>EDA 처리</w:t>
            </w:r>
          </w:p>
        </w:tc>
      </w:tr>
      <w:tr>
        <w:tc>
          <w:tcPr>
            <w:tcW w:type="dxa" w:w="3456"/>
          </w:tcPr>
          <w:p>
            <w:r>
              <w:rPr>
                <w:sz w:val="17"/>
              </w:rPr>
              <w:t>unique_ttl</w:t>
            </w:r>
          </w:p>
        </w:tc>
        <w:tc>
          <w:tcPr>
            <w:tcW w:type="dxa" w:w="3456"/>
          </w:tcPr>
          <w:p>
            <w:r>
              <w:rPr>
                <w:sz w:val="17"/>
              </w:rPr>
              <w:t>리스트 형태 문자열</w:t>
            </w:r>
          </w:p>
        </w:tc>
        <w:tc>
          <w:tcPr>
            <w:tcW w:type="dxa" w:w="3456"/>
          </w:tcPr>
          <w:p>
            <w:r>
              <w:rPr>
                <w:sz w:val="17"/>
              </w:rPr>
              <w:t>항목 수를 파생 Feature로 변환하여 비교</w:t>
            </w:r>
          </w:p>
        </w:tc>
      </w:tr>
      <w:tr>
        <w:tc>
          <w:tcPr>
            <w:tcW w:type="dxa" w:w="3456"/>
          </w:tcPr>
          <w:p>
            <w:r>
              <w:rPr>
                <w:sz w:val="17"/>
              </w:rPr>
              <w:t>distinct_ip</w:t>
            </w:r>
          </w:p>
        </w:tc>
        <w:tc>
          <w:tcPr>
            <w:tcW w:type="dxa" w:w="3456"/>
          </w:tcPr>
          <w:p>
            <w:r>
              <w:rPr>
                <w:sz w:val="17"/>
              </w:rPr>
              <w:t>정상 52,438행 / 공격 18,916행 모두 set()</w:t>
            </w:r>
          </w:p>
        </w:tc>
        <w:tc>
          <w:tcPr>
            <w:tcW w:type="dxa" w:w="3456"/>
          </w:tcPr>
          <w:p>
            <w:r>
              <w:rPr>
                <w:sz w:val="17"/>
              </w:rPr>
              <w:t>현재 대표 파일에서는 변별 정보가 없어 핵심 분석에서 제외</w:t>
            </w:r>
          </w:p>
        </w:tc>
      </w:tr>
    </w:tbl>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문자열로 저장된 Stateful Feature는 의미를 확인한 뒤 적절한 파생 Feature로 변환해야 한다.</w:t>
            </w:r>
          </w:p>
        </w:tc>
      </w:tr>
    </w:tbl>
    <w:p>
      <w:r>
        <w:br w:type="page"/>
      </w:r>
    </w:p>
    <w:p>
      <w:pPr>
        <w:spacing w:after="160"/>
      </w:pPr>
      <w:r>
        <w:rPr>
          <w:b/>
          <w:color w:val="123B63"/>
          <w:sz w:val="44"/>
        </w:rPr>
        <w:t>6. 주요 EDA Feature 후보</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B63"/>
          </w:tcPr>
          <w:p>
            <w:r>
              <w:rPr>
                <w:b/>
                <w:color w:val="FFFFFF"/>
                <w:sz w:val="18"/>
              </w:rPr>
              <w:t>Feature 후보</w:t>
            </w:r>
          </w:p>
        </w:tc>
        <w:tc>
          <w:tcPr>
            <w:tcW w:type="dxa" w:w="2592"/>
            <w:shd w:fill="123B63"/>
          </w:tcPr>
          <w:p>
            <w:r>
              <w:rPr>
                <w:b/>
                <w:color w:val="FFFFFF"/>
                <w:sz w:val="18"/>
              </w:rPr>
              <w:t>영역</w:t>
            </w:r>
          </w:p>
        </w:tc>
        <w:tc>
          <w:tcPr>
            <w:tcW w:type="dxa" w:w="2592"/>
            <w:shd w:fill="123B63"/>
          </w:tcPr>
          <w:p>
            <w:r>
              <w:rPr>
                <w:b/>
                <w:color w:val="FFFFFF"/>
                <w:sz w:val="18"/>
              </w:rPr>
              <w:t>관찰된 근거</w:t>
            </w:r>
          </w:p>
        </w:tc>
        <w:tc>
          <w:tcPr>
            <w:tcW w:type="dxa" w:w="2592"/>
            <w:shd w:fill="123B63"/>
          </w:tcPr>
          <w:p>
            <w:r>
              <w:rPr>
                <w:b/>
                <w:color w:val="FFFFFF"/>
                <w:sz w:val="18"/>
              </w:rPr>
              <w:t>모델링 검증</w:t>
            </w:r>
          </w:p>
        </w:tc>
      </w:tr>
      <w:tr>
        <w:tc>
          <w:tcPr>
            <w:tcW w:type="dxa" w:w="2592"/>
          </w:tcPr>
          <w:p>
            <w:r>
              <w:rPr>
                <w:sz w:val="17"/>
              </w:rPr>
              <w:t>numeric</w:t>
            </w:r>
          </w:p>
        </w:tc>
        <w:tc>
          <w:tcPr>
            <w:tcW w:type="dxa" w:w="2592"/>
          </w:tcPr>
          <w:p>
            <w:r>
              <w:rPr>
                <w:sz w:val="17"/>
              </w:rPr>
              <w:t>Stateless</w:t>
            </w:r>
          </w:p>
        </w:tc>
        <w:tc>
          <w:tcPr>
            <w:tcW w:type="dxa" w:w="2592"/>
          </w:tcPr>
          <w:p>
            <w:r>
              <w:rPr>
                <w:sz w:val="17"/>
              </w:rPr>
              <w:t>3.97 → 8.93</w:t>
            </w:r>
          </w:p>
        </w:tc>
        <w:tc>
          <w:tcPr>
            <w:tcW w:type="dxa" w:w="2592"/>
          </w:tcPr>
          <w:p>
            <w:r>
              <w:rPr>
                <w:sz w:val="17"/>
              </w:rPr>
              <w:t>Feature Importance / SHAP / Ablation</w:t>
            </w:r>
          </w:p>
        </w:tc>
      </w:tr>
      <w:tr>
        <w:tc>
          <w:tcPr>
            <w:tcW w:type="dxa" w:w="2592"/>
          </w:tcPr>
          <w:p>
            <w:r>
              <w:rPr>
                <w:sz w:val="17"/>
              </w:rPr>
              <w:t>subdomain_length</w:t>
            </w:r>
          </w:p>
        </w:tc>
        <w:tc>
          <w:tcPr>
            <w:tcW w:type="dxa" w:w="2592"/>
          </w:tcPr>
          <w:p>
            <w:r>
              <w:rPr>
                <w:sz w:val="17"/>
              </w:rPr>
              <w:t>Stateless</w:t>
            </w:r>
          </w:p>
        </w:tc>
        <w:tc>
          <w:tcPr>
            <w:tcW w:type="dxa" w:w="2592"/>
          </w:tcPr>
          <w:p>
            <w:r>
              <w:rPr>
                <w:sz w:val="17"/>
              </w:rPr>
              <w:t>4.02 → 8.07</w:t>
            </w:r>
          </w:p>
        </w:tc>
        <w:tc>
          <w:tcPr>
            <w:tcW w:type="dxa" w:w="2592"/>
          </w:tcPr>
          <w:p>
            <w:r>
              <w:rPr>
                <w:sz w:val="17"/>
              </w:rPr>
              <w:t>공격 유형별 분포 + 중요도</w:t>
            </w:r>
          </w:p>
        </w:tc>
      </w:tr>
      <w:tr>
        <w:tc>
          <w:tcPr>
            <w:tcW w:type="dxa" w:w="2592"/>
          </w:tcPr>
          <w:p>
            <w:r>
              <w:rPr>
                <w:sz w:val="17"/>
              </w:rPr>
              <w:t>FQDN_count</w:t>
            </w:r>
          </w:p>
        </w:tc>
        <w:tc>
          <w:tcPr>
            <w:tcW w:type="dxa" w:w="2592"/>
          </w:tcPr>
          <w:p>
            <w:r>
              <w:rPr>
                <w:sz w:val="17"/>
              </w:rPr>
              <w:t>Stateless</w:t>
            </w:r>
          </w:p>
        </w:tc>
        <w:tc>
          <w:tcPr>
            <w:tcW w:type="dxa" w:w="2592"/>
          </w:tcPr>
          <w:p>
            <w:r>
              <w:rPr>
                <w:sz w:val="17"/>
              </w:rPr>
              <w:t>18.45 → 25.33</w:t>
            </w:r>
          </w:p>
        </w:tc>
        <w:tc>
          <w:tcPr>
            <w:tcW w:type="dxa" w:w="2592"/>
          </w:tcPr>
          <w:p>
            <w:r>
              <w:rPr>
                <w:sz w:val="17"/>
              </w:rPr>
              <w:t>길이 Feature 중복성 점검</w:t>
            </w:r>
          </w:p>
        </w:tc>
      </w:tr>
      <w:tr>
        <w:tc>
          <w:tcPr>
            <w:tcW w:type="dxa" w:w="2592"/>
          </w:tcPr>
          <w:p>
            <w:r>
              <w:rPr>
                <w:sz w:val="17"/>
              </w:rPr>
              <w:t>labels</w:t>
            </w:r>
          </w:p>
        </w:tc>
        <w:tc>
          <w:tcPr>
            <w:tcW w:type="dxa" w:w="2592"/>
          </w:tcPr>
          <w:p>
            <w:r>
              <w:rPr>
                <w:sz w:val="17"/>
              </w:rPr>
              <w:t>Stateless</w:t>
            </w:r>
          </w:p>
        </w:tc>
        <w:tc>
          <w:tcPr>
            <w:tcW w:type="dxa" w:w="2592"/>
          </w:tcPr>
          <w:p>
            <w:r>
              <w:rPr>
                <w:sz w:val="17"/>
              </w:rPr>
              <w:t>3.84 → 5.71</w:t>
            </w:r>
          </w:p>
        </w:tc>
        <w:tc>
          <w:tcPr>
            <w:tcW w:type="dxa" w:w="2592"/>
          </w:tcPr>
          <w:p>
            <w:r>
              <w:rPr>
                <w:sz w:val="17"/>
              </w:rPr>
              <w:t>도메인 구조 기여도 검증</w:t>
            </w:r>
          </w:p>
        </w:tc>
      </w:tr>
      <w:tr>
        <w:tc>
          <w:tcPr>
            <w:tcW w:type="dxa" w:w="2592"/>
          </w:tcPr>
          <w:p>
            <w:r>
              <w:rPr>
                <w:sz w:val="17"/>
              </w:rPr>
              <w:t>special</w:t>
            </w:r>
          </w:p>
        </w:tc>
        <w:tc>
          <w:tcPr>
            <w:tcW w:type="dxa" w:w="2592"/>
          </w:tcPr>
          <w:p>
            <w:r>
              <w:rPr>
                <w:sz w:val="17"/>
              </w:rPr>
              <w:t>Stateless</w:t>
            </w:r>
          </w:p>
        </w:tc>
        <w:tc>
          <w:tcPr>
            <w:tcW w:type="dxa" w:w="2592"/>
          </w:tcPr>
          <w:p>
            <w:r>
              <w:rPr>
                <w:sz w:val="17"/>
              </w:rPr>
              <w:t>3.30 → 5.68</w:t>
            </w:r>
          </w:p>
        </w:tc>
        <w:tc>
          <w:tcPr>
            <w:tcW w:type="dxa" w:w="2592"/>
          </w:tcPr>
          <w:p>
            <w:r>
              <w:rPr>
                <w:sz w:val="17"/>
              </w:rPr>
              <w:t>문자 구성 Feature 비교</w:t>
            </w:r>
          </w:p>
        </w:tc>
      </w:tr>
      <w:tr>
        <w:tc>
          <w:tcPr>
            <w:tcW w:type="dxa" w:w="2592"/>
          </w:tcPr>
          <w:p>
            <w:r>
              <w:rPr>
                <w:sz w:val="17"/>
              </w:rPr>
              <w:t>ttl_mean</w:t>
            </w:r>
          </w:p>
        </w:tc>
        <w:tc>
          <w:tcPr>
            <w:tcW w:type="dxa" w:w="2592"/>
          </w:tcPr>
          <w:p>
            <w:r>
              <w:rPr>
                <w:sz w:val="17"/>
              </w:rPr>
              <w:t>Stateful</w:t>
            </w:r>
          </w:p>
        </w:tc>
        <w:tc>
          <w:tcPr>
            <w:tcW w:type="dxa" w:w="2592"/>
          </w:tcPr>
          <w:p>
            <w:r>
              <w:rPr>
                <w:sz w:val="17"/>
              </w:rPr>
              <w:t>92.20 → 12.15</w:t>
            </w:r>
          </w:p>
        </w:tc>
        <w:tc>
          <w:tcPr>
            <w:tcW w:type="dxa" w:w="2592"/>
          </w:tcPr>
          <w:p>
            <w:r>
              <w:rPr>
                <w:sz w:val="17"/>
              </w:rPr>
              <w:t>Window Feature 중요도 검증</w:t>
            </w:r>
          </w:p>
        </w:tc>
      </w:tr>
      <w:tr>
        <w:tc>
          <w:tcPr>
            <w:tcW w:type="dxa" w:w="2592"/>
          </w:tcPr>
          <w:p>
            <w:r>
              <w:rPr>
                <w:sz w:val="17"/>
              </w:rPr>
              <w:t>ttl_variance</w:t>
            </w:r>
          </w:p>
        </w:tc>
        <w:tc>
          <w:tcPr>
            <w:tcW w:type="dxa" w:w="2592"/>
          </w:tcPr>
          <w:p>
            <w:r>
              <w:rPr>
                <w:sz w:val="17"/>
              </w:rPr>
              <w:t>Stateful</w:t>
            </w:r>
          </w:p>
        </w:tc>
        <w:tc>
          <w:tcPr>
            <w:tcW w:type="dxa" w:w="2592"/>
          </w:tcPr>
          <w:p>
            <w:r>
              <w:rPr>
                <w:sz w:val="17"/>
              </w:rPr>
              <w:t>2.807 → 0.003</w:t>
            </w:r>
          </w:p>
        </w:tc>
        <w:tc>
          <w:tcPr>
            <w:tcW w:type="dxa" w:w="2592"/>
          </w:tcPr>
          <w:p>
            <w:r>
              <w:rPr>
                <w:sz w:val="17"/>
              </w:rPr>
              <w:t>TTL 계열 중복/기여도 비교</w:t>
            </w:r>
          </w:p>
        </w:tc>
      </w:tr>
      <w:tr>
        <w:tc>
          <w:tcPr>
            <w:tcW w:type="dxa" w:w="2592"/>
          </w:tcPr>
          <w:p>
            <w:r>
              <w:rPr>
                <w:sz w:val="17"/>
              </w:rPr>
              <w:t>unique_ttl_count</w:t>
            </w:r>
          </w:p>
        </w:tc>
        <w:tc>
          <w:tcPr>
            <w:tcW w:type="dxa" w:w="2592"/>
          </w:tcPr>
          <w:p>
            <w:r>
              <w:rPr>
                <w:sz w:val="17"/>
              </w:rPr>
              <w:t>Stateful</w:t>
            </w:r>
          </w:p>
        </w:tc>
        <w:tc>
          <w:tcPr>
            <w:tcW w:type="dxa" w:w="2592"/>
          </w:tcPr>
          <w:p>
            <w:r>
              <w:rPr>
                <w:sz w:val="17"/>
              </w:rPr>
              <w:t>2.53 → 3.76</w:t>
            </w:r>
          </w:p>
        </w:tc>
        <w:tc>
          <w:tcPr>
            <w:tcW w:type="dxa" w:w="2592"/>
          </w:tcPr>
          <w:p>
            <w:r>
              <w:rPr>
                <w:sz w:val="17"/>
              </w:rPr>
              <w:t>파생 Feature 유효성 검증</w:t>
            </w:r>
          </w:p>
        </w:tc>
      </w:tr>
    </w:tbl>
    <w:p>
      <w:r>
        <w:t>위 목록은 Feature Importance 순위가 아니다. EDA에서 관찰된 정상/공격 차이를 기준으로 후속 모델링에서 검증할 후보를 정리한 것이다.</w:t>
      </w:r>
    </w:p>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최종 Feature Set은 그래프 차이만으로 결정하지 않고, 모델 성능과 Explainability 결과를 함께 보고 결정한다.</w:t>
            </w:r>
          </w:p>
        </w:tc>
      </w:tr>
    </w:tbl>
    <w:p>
      <w:r>
        <w:br w:type="page"/>
      </w:r>
    </w:p>
    <w:p>
      <w:pPr>
        <w:spacing w:after="160"/>
      </w:pPr>
      <w:r>
        <w:rPr>
          <w:b/>
          <w:color w:val="123B63"/>
          <w:sz w:val="44"/>
        </w:rPr>
        <w:t>7. 분석의 한계와 주의사항</w:t>
      </w:r>
    </w:p>
    <w:p>
      <w:pPr>
        <w:pStyle w:val="Heading2"/>
      </w:pPr>
      <w:r>
        <w:t>7.1 대표 파일 기반 비교</w:t>
      </w:r>
    </w:p>
    <w:p>
      <w:r>
        <w:t>현재 Notebook 분석은 stateless/stateful benign_1과 heavy_text 공격 파일을 중심으로 수행한 대표 EDA다. 다른 공격 파일(audio, compressed, exe, image, video) 및 light/heavy 조건에서도 동일한 패턴이 유지되는지 재검증이 필요하다.</w:t>
      </w:r>
    </w:p>
    <w:p>
      <w:pPr>
        <w:pStyle w:val="Heading2"/>
      </w:pPr>
      <w:r>
        <w:t>7.2 Attack 통합 해석 주의</w:t>
      </w:r>
    </w:p>
    <w:p>
      <w:r>
        <w:t>DNS 공격도 전송 데이터 유형과 공격 강도에 따라 행동이 달라질 수 있다. “공격이면 항상 특정 값이 높다/낮다”는 단일 규칙으로 일반화하지 않는다.</w:t>
      </w:r>
    </w:p>
    <w:p>
      <w:pPr>
        <w:pStyle w:val="Heading2"/>
      </w:pPr>
      <w:r>
        <w:t>7.3 평균 중심 EDA의 한계</w:t>
      </w:r>
    </w:p>
    <w:p>
      <w:r>
        <w:t>이번 1차 Notebook은 평균 비교 중심이다. 분포 중첩, 이상치, 중앙값/IQR 등을 추가로 확인하면 더욱 안정적인 해석이 가능하다.</w:t>
      </w:r>
    </w:p>
    <w:p>
      <w:pPr>
        <w:pStyle w:val="Heading2"/>
      </w:pPr>
      <w:r>
        <w:t>7.4 파생 Feature 해석</w:t>
      </w:r>
    </w:p>
    <w:p>
      <w:r>
        <w:t>unique_ttl_count는 원본 unique_ttl 문자열 리스트의 길이를 계산한 파생 Feature다. “고유 TTL 수”와 동일한 의미라고 단정하지 않고, 원본 스키마 정의를 추가 확인해야 한다.</w:t>
      </w:r>
    </w:p>
    <w:p>
      <w:r>
        <w:br w:type="page"/>
      </w:r>
    </w:p>
    <w:p>
      <w:pPr>
        <w:spacing w:after="160"/>
      </w:pPr>
      <w:r>
        <w:rPr>
          <w:b/>
          <w:color w:val="123B63"/>
          <w:sz w:val="44"/>
        </w:rPr>
        <w:t>8. 다음 단계 - DNS Security 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23B63"/>
          </w:tcPr>
          <w:p>
            <w:r>
              <w:rPr>
                <w:b/>
                <w:color w:val="FFFFFF"/>
                <w:sz w:val="18"/>
              </w:rPr>
              <w:t>접근</w:t>
            </w:r>
          </w:p>
        </w:tc>
        <w:tc>
          <w:tcPr>
            <w:tcW w:type="dxa" w:w="2592"/>
            <w:shd w:fill="123B63"/>
          </w:tcPr>
          <w:p>
            <w:r>
              <w:rPr>
                <w:b/>
                <w:color w:val="FFFFFF"/>
                <w:sz w:val="18"/>
              </w:rPr>
              <w:t>모델</w:t>
            </w:r>
          </w:p>
        </w:tc>
        <w:tc>
          <w:tcPr>
            <w:tcW w:type="dxa" w:w="2592"/>
            <w:shd w:fill="123B63"/>
          </w:tcPr>
          <w:p>
            <w:r>
              <w:rPr>
                <w:b/>
                <w:color w:val="FFFFFF"/>
                <w:sz w:val="18"/>
              </w:rPr>
              <w:t>역할</w:t>
            </w:r>
          </w:p>
        </w:tc>
        <w:tc>
          <w:tcPr>
            <w:tcW w:type="dxa" w:w="2592"/>
            <w:shd w:fill="123B63"/>
          </w:tcPr>
          <w:p>
            <w:r>
              <w:rPr>
                <w:b/>
                <w:color w:val="FFFFFF"/>
                <w:sz w:val="18"/>
              </w:rPr>
              <w:t>평가 방향</w:t>
            </w:r>
          </w:p>
        </w:tc>
      </w:tr>
      <w:tr>
        <w:tc>
          <w:tcPr>
            <w:tcW w:type="dxa" w:w="2592"/>
          </w:tcPr>
          <w:p>
            <w:r>
              <w:rPr>
                <w:sz w:val="17"/>
              </w:rPr>
              <w:t>Supervised</w:t>
            </w:r>
          </w:p>
        </w:tc>
        <w:tc>
          <w:tcPr>
            <w:tcW w:type="dxa" w:w="2592"/>
          </w:tcPr>
          <w:p>
            <w:r>
              <w:rPr>
                <w:sz w:val="17"/>
              </w:rPr>
              <w:t>RandomForest</w:t>
            </w:r>
          </w:p>
        </w:tc>
        <w:tc>
          <w:tcPr>
            <w:tcW w:type="dxa" w:w="2592"/>
          </w:tcPr>
          <w:p>
            <w:r>
              <w:rPr>
                <w:sz w:val="17"/>
              </w:rPr>
              <w:t>알려진 정상/공격 패턴 분류</w:t>
            </w:r>
          </w:p>
        </w:tc>
        <w:tc>
          <w:tcPr>
            <w:tcW w:type="dxa" w:w="2592"/>
          </w:tcPr>
          <w:p>
            <w:r>
              <w:rPr>
                <w:sz w:val="17"/>
              </w:rPr>
              <w:t>Precision / Recall / F1 / Confusion Matrix</w:t>
            </w:r>
          </w:p>
        </w:tc>
      </w:tr>
      <w:tr>
        <w:tc>
          <w:tcPr>
            <w:tcW w:type="dxa" w:w="2592"/>
          </w:tcPr>
          <w:p>
            <w:r>
              <w:rPr>
                <w:sz w:val="17"/>
              </w:rPr>
              <w:t>Supervised</w:t>
            </w:r>
          </w:p>
        </w:tc>
        <w:tc>
          <w:tcPr>
            <w:tcW w:type="dxa" w:w="2592"/>
          </w:tcPr>
          <w:p>
            <w:r>
              <w:rPr>
                <w:sz w:val="17"/>
              </w:rPr>
              <w:t>XGBoost</w:t>
            </w:r>
          </w:p>
        </w:tc>
        <w:tc>
          <w:tcPr>
            <w:tcW w:type="dxa" w:w="2592"/>
          </w:tcPr>
          <w:p>
            <w:r>
              <w:rPr>
                <w:sz w:val="17"/>
              </w:rPr>
              <w:t>비선형 Feature 조합 기반 공격 분류</w:t>
            </w:r>
          </w:p>
        </w:tc>
        <w:tc>
          <w:tcPr>
            <w:tcW w:type="dxa" w:w="2592"/>
          </w:tcPr>
          <w:p>
            <w:r>
              <w:rPr>
                <w:sz w:val="17"/>
              </w:rPr>
              <w:t>F1 + Feature Importance / SHAP</w:t>
            </w:r>
          </w:p>
        </w:tc>
      </w:tr>
      <w:tr>
        <w:tc>
          <w:tcPr>
            <w:tcW w:type="dxa" w:w="2592"/>
          </w:tcPr>
          <w:p>
            <w:r>
              <w:rPr>
                <w:sz w:val="17"/>
              </w:rPr>
              <w:t>Supervised</w:t>
            </w:r>
          </w:p>
        </w:tc>
        <w:tc>
          <w:tcPr>
            <w:tcW w:type="dxa" w:w="2592"/>
          </w:tcPr>
          <w:p>
            <w:r>
              <w:rPr>
                <w:sz w:val="17"/>
              </w:rPr>
              <w:t>LightGBM</w:t>
            </w:r>
          </w:p>
        </w:tc>
        <w:tc>
          <w:tcPr>
            <w:tcW w:type="dxa" w:w="2592"/>
          </w:tcPr>
          <w:p>
            <w:r>
              <w:rPr>
                <w:sz w:val="17"/>
              </w:rPr>
              <w:t>효율적인 Gradient Boosting 비교</w:t>
            </w:r>
          </w:p>
        </w:tc>
        <w:tc>
          <w:tcPr>
            <w:tcW w:type="dxa" w:w="2592"/>
          </w:tcPr>
          <w:p>
            <w:r>
              <w:rPr>
                <w:sz w:val="17"/>
              </w:rPr>
              <w:t>성능 + 학습/추론 비용</w:t>
            </w:r>
          </w:p>
        </w:tc>
      </w:tr>
      <w:tr>
        <w:tc>
          <w:tcPr>
            <w:tcW w:type="dxa" w:w="2592"/>
          </w:tcPr>
          <w:p>
            <w:r>
              <w:rPr>
                <w:sz w:val="17"/>
              </w:rPr>
              <w:t>Unsupervised</w:t>
            </w:r>
          </w:p>
        </w:tc>
        <w:tc>
          <w:tcPr>
            <w:tcW w:type="dxa" w:w="2592"/>
          </w:tcPr>
          <w:p>
            <w:r>
              <w:rPr>
                <w:sz w:val="17"/>
              </w:rPr>
              <w:t>IsolationForest</w:t>
            </w:r>
          </w:p>
        </w:tc>
        <w:tc>
          <w:tcPr>
            <w:tcW w:type="dxa" w:w="2592"/>
          </w:tcPr>
          <w:p>
            <w:r>
              <w:rPr>
                <w:sz w:val="17"/>
              </w:rPr>
              <w:t>라벨에 의존하지 않는 이상행동 탐지</w:t>
            </w:r>
          </w:p>
        </w:tc>
        <w:tc>
          <w:tcPr>
            <w:tcW w:type="dxa" w:w="2592"/>
          </w:tcPr>
          <w:p>
            <w:r>
              <w:rPr>
                <w:sz w:val="17"/>
              </w:rPr>
              <w:t>정상 오탐률 + 공격 탐지율</w:t>
            </w:r>
          </w:p>
        </w:tc>
      </w:tr>
    </w:tbl>
    <w:p>
      <w:r>
        <w:t>Supervised 모델은 알려진 공격 분류 역할, IsolationForest는 정상 패턴에서 벗어난 알려지지 않은 이상행동 탐지 보조 역할로 분리한다.</w:t>
      </w:r>
    </w:p>
    <w:p>
      <w:pPr>
        <w:pStyle w:val="Heading2"/>
      </w:pPr>
      <w:r>
        <w:t>권장 진행 순서</w:t>
      </w:r>
    </w:p>
    <w:p>
      <w:r>
        <w:t>1. 전체 파일 통합 및 Label 생성</w:t>
      </w:r>
    </w:p>
    <w:p>
      <w:r>
        <w:t>2. NaN / 문자열 Feature 처리</w:t>
      </w:r>
    </w:p>
    <w:p>
      <w:r>
        <w:t>3. Train / Validation / Test Split</w:t>
      </w:r>
    </w:p>
    <w:p>
      <w:r>
        <w:t>4. RandomForest / XGBoost / LightGBM Baseline</w:t>
      </w:r>
    </w:p>
    <w:p>
      <w:r>
        <w:t>5. Feature Importance 및 SHAP</w:t>
      </w:r>
    </w:p>
    <w:p>
      <w:r>
        <w:t>6. IsolationForest 비교</w:t>
      </w:r>
    </w:p>
    <w:p>
      <w:r>
        <w:t>7. 핵심 Feature 축소 및 일반화 검증</w:t>
      </w:r>
    </w:p>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EDA → Baseline → Explainability → Feature Reduction → Supervised/Unsupervised 비교 순서로 진행한다.</w:t>
            </w:r>
          </w:p>
        </w:tc>
      </w:tr>
    </w:tbl>
    <w:p>
      <w:r>
        <w:br w:type="page"/>
      </w:r>
    </w:p>
    <w:p>
      <w:pPr>
        <w:spacing w:after="160"/>
      </w:pPr>
      <w:r>
        <w:rPr>
          <w:b/>
          <w:color w:val="123B63"/>
          <w:sz w:val="44"/>
        </w:rPr>
        <w:t>9. 결론</w:t>
      </w:r>
    </w:p>
    <w:p>
      <w:r>
        <w:t>CIC-Bell-DNS-EXF-2021 대표 EDA에서 정상 DNS와 공격 DNS 사이에 Query 문자열 구조와 시간 Window 기반 TTL 행동의 차이가 관찰되었다. Stateless에서는 numeric, subdomain_length, FQDN_count, labels, special이 유력 후보로 나타났고, Stateful에서는 ttl_mean과 ttl_variance가 특히 큰 차이를 보였다.</w:t>
      </w:r>
    </w:p>
    <w:p>
      <w:r>
        <w:t>반면 entropy는 평균 차이가 거의 없었고, distinct_ip는 현재 대표 파일에서 set()만 관찰되어 핵심 Feature 후보에서 제외하였다. 이는 Feature를 단순히 많이 사용하는 것보다, 실제 정보량과 변별력을 확인하면서 후보를 줄이는 과정이 필요함을 보여준다.</w:t>
      </w:r>
    </w:p>
    <w:p>
      <w:r>
        <w:t>다음 단계에서는 RandomForest, XGBoost, LightGBM으로 알려진 공격 분류 성능을 비교하고, IsolationForest를 통해 라벨 기반 분류와 이상행동 탐지의 역할 차이를 확인한다. 최종 Feature 선택은 EDA 차이뿐 아니라 모델 중요도, SHAP, 성능 및 추론 비용을 함께 고려해 결정한다.</w:t>
      </w:r>
    </w:p>
    <w:tbl>
      <w:tblPr>
        <w:tblW w:type="auto" w:w="0"/>
        <w:jc w:val="center"/>
        <w:tblLayout w:type="autofit"/>
        <w:tblLook w:firstColumn="1" w:firstRow="1" w:lastColumn="0" w:lastRow="0" w:noHBand="0" w:noVBand="1" w:val="04A0"/>
      </w:tblPr>
      <w:tblGrid>
        <w:gridCol w:w="10368"/>
      </w:tblGrid>
      <w:tr>
        <w:tc>
          <w:tcPr>
            <w:tcW w:type="dxa" w:w="10368"/>
            <w:shd w:fill="EAF1F7"/>
            <w:vAlign w:val="center"/>
          </w:tcPr>
          <w:p>
            <w:pPr>
              <w:spacing w:before="100" w:after="100"/>
            </w:pPr>
            <w:r>
              <w:rPr>
                <w:b/>
                <w:color w:val="123B63"/>
                <w:sz w:val="18"/>
              </w:rPr>
              <w:t xml:space="preserve">KEY INSIGHT  </w:t>
            </w:r>
            <w:r>
              <w:rPr>
                <w:color w:val="2D3741"/>
                <w:sz w:val="18"/>
              </w:rPr>
              <w:t>현재 EDA는 “정상 DNS와 공격 DNS의 차이가 어디에서 나타나는가”를 확인한 단계이며, 다음 모델링에서 실제 탐지 기여도를 검증한다.</w:t>
            </w:r>
          </w:p>
        </w:tc>
      </w:tr>
    </w:tbl>
    <w:sectPr w:rsidR="00FC693F" w:rsidRPr="0006063C" w:rsidSect="00034616">
      <w:headerReference w:type="default" r:id="rId9"/>
      <w:footerReference w:type="default" r:id="rId10"/>
      <w:pgSz w:w="12240" w:h="15840"/>
      <w:pgMar w:top="792"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DNS Security EDA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CIC-Bell-DNS-EXF-2021 | DNS Security EDA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2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