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76" w:lineRule="auto"/>
        <w:jc w:val="center"/>
      </w:pPr>
      <w:r>
        <w:rPr>
          <w:rFonts w:ascii="함초롬돋움" w:cs="함초롬돋움" w:eastAsia="함초롬돋움" w:hAnsi="함초롬돋움"/>
          <w:b/>
          <w:bCs/>
          <w:sz w:val="32"/>
          <w:szCs w:val="32"/>
        </w:rPr>
        <w:t xml:space="preserve">실측 기준 분자와 Mole-BERT 쌍 입력을 이용한</w:t>
      </w:r>
    </w:p>
    <w:p>
      <w:pPr>
        <w:spacing w:after="240" w:before="0" w:line="276" w:lineRule="auto"/>
        <w:jc w:val="center"/>
      </w:pPr>
      <w:r>
        <w:rPr>
          <w:rFonts w:ascii="함초롬돋움" w:cs="함초롬돋움" w:eastAsia="함초롬돋움" w:hAnsi="함초롬돋움"/>
          <w:b/>
          <w:bCs/>
          <w:sz w:val="32"/>
          <w:szCs w:val="32"/>
        </w:rPr>
        <w:t xml:space="preserve">Activity Cliff 활성 예측</w:t>
      </w:r>
    </w:p>
    <w:p>
      <w:pPr>
        <w:spacing w:after="0" w:before="0" w:line="276" w:lineRule="auto"/>
        <w:jc w:val="center"/>
      </w:pPr>
      <w:r>
        <w:rPr>
          <w:rFonts w:ascii="함초롬돋움" w:cs="함초롬돋움" w:eastAsia="함초롬돋움" w:hAnsi="함초롬돋움"/>
          <w:b/>
          <w:bCs/>
          <w:sz w:val="28"/>
          <w:szCs w:val="28"/>
        </w:rPr>
        <w:t xml:space="preserve">Activity Cliff Prediction from Measured Anchor Molecules</w:t>
      </w:r>
    </w:p>
    <w:p>
      <w:pPr>
        <w:spacing w:after="280" w:before="0" w:line="276" w:lineRule="auto"/>
        <w:jc w:val="center"/>
      </w:pPr>
      <w:r>
        <w:rPr>
          <w:rFonts w:ascii="함초롬돋움" w:cs="함초롬돋움" w:eastAsia="함초롬돋움" w:hAnsi="함초롬돋움"/>
          <w:b/>
          <w:bCs/>
          <w:sz w:val="28"/>
          <w:szCs w:val="28"/>
        </w:rPr>
        <w:t xml:space="preserve">with a Pair-Input Mole-BERT Model</w:t>
      </w:r>
    </w:p>
    <w:p>
      <w:pPr>
        <w:spacing w:after="60" w:before="0" w:line="276" w:lineRule="auto"/>
        <w:jc w:val="center"/>
      </w:pPr>
      <w:r>
        <w:rPr>
          <w:rFonts w:ascii="함초롬돋움" w:cs="함초롬돋움" w:eastAsia="함초롬돋움" w:hAnsi="함초롬돋움"/>
          <w:b/>
          <w:bCs/>
          <w:sz w:val="19"/>
          <w:szCs w:val="19"/>
        </w:rPr>
        <w:t xml:space="preserve">요    약</w:t>
      </w:r>
    </w:p>
    <w:p>
      <w:pPr>
        <w:spacing w:after="240" w:before="0" w:line="264" w:lineRule="auto"/>
        <w:ind w:firstLine="190"/>
        <w:jc w:val="both"/>
        <w:sectPr>
          <w:pgSz w:w="11906" w:h="16838" w:orient="portrait"/>
          <w:pgMar w:top="1701" w:right="567" w:bottom="1134" w:left="567" w:header="0" w:footer="0" w:gutter="0"/>
          <w:pgNumType/>
          <w:cols w:num="1"/>
          <w:docGrid w:linePitch="360"/>
        </w:sectPr>
      </w:pPr>
      <w:r>
        <w:rPr>
          <w:rFonts w:ascii="함초롬돋움" w:cs="함초롬돋움" w:eastAsia="함초롬돋움" w:hAnsi="함초롬돋움"/>
          <w:sz w:val="19"/>
          <w:szCs w:val="19"/>
        </w:rPr>
        <w:t xml:space="preserve">Activity cliff는 구조가 거의 같으면서 활성은 10배 이상 차이 나는 분자 쌍으로, 분자를 하나씩 입력하는 그래프 신경망은 cliff에서 ECFP 지문 기반 SVR보다도 오차가 크다. 본 연구는 구조가 비슷한 두 분자와 그 변화 부위를 함께 입력해 활성 차이를 직접 예측하는 쌍 입력 그래프 신경망을 제안한다. 실측값을 아는 기준 분자를 입력에 명시해 두 분자의 예측 오차가 상쇄되는 것을 막았고, 타깃 간 누수를 통제한 평가에서 같은 인코더·같은 예측 헤드의 분자별 모델과 비교하였다. MoleculeACE 30개 타깃의 평가 쌍 38,711개에서 쌍 입력은 cliff 평가 RMSE를 Mole-BERT에서 23.3%, GINE에서 21.1% 낮추었으며, 각각 30개 타깃 중 28개와 30개에서 개선되었다. 그 결과 Mole-BERT 쌍 입력 모델은 cliff 0.889, 전체 0.592로 ECFP + SVR(0.914, 0.591)과 대등한 수준에 이르렀다.</w:t>
      </w:r>
    </w:p>
    <w:p>
      <w:pPr>
        <w:keepNext/>
        <w:spacing w:after="40" w:before="100" w:line="290" w:lineRule="exact"/>
      </w:pPr>
      <w:r>
        <w:rPr>
          <w:rFonts w:ascii="함초롬돋움" w:cs="함초롬돋움" w:eastAsia="함초롬돋움" w:hAnsi="함초롬돋움"/>
          <w:b/>
          <w:bCs/>
          <w:sz w:val="20"/>
          <w:szCs w:val="20"/>
        </w:rPr>
        <w:t xml:space="preserve">1. 서  론</w:t>
      </w:r>
    </w:p>
    <w:p>
      <w:pPr>
        <w:spacing w:after="0" w:before="0" w:line="260" w:lineRule="exact"/>
        <w:ind w:firstLine="190"/>
        <w:jc w:val="both"/>
      </w:pPr>
      <w:r>
        <w:rPr>
          <w:rFonts w:ascii="함초롬돋움" w:cs="함초롬돋움" w:eastAsia="함초롬돋움" w:hAnsi="함초롬돋움"/>
          <w:sz w:val="18"/>
          <w:szCs w:val="18"/>
        </w:rPr>
        <w:t xml:space="preserve">신약 후보 최적화는 활성이 알려진 화합물의 구조를 조금씩 바꾸는 과정이다. 이 과정에서 가장 예측하기 어려운 대상은 구조는 유사하지만 활성이 10배 이상 차이 나는 분자 쌍으로, activity cliff(이하 cliff)라 한다[1]. van Tilborg 등은 30개 ChEMBL 타깃에서 24종 모델을 평가하는 MoleculeACE 벤치마크를 구축하였다[2]. 해당 연구에서는 ECFP 지문[3] 기반 SVM이 그래프 신경망보다 우수했다.</w:t>
      </w:r>
    </w:p>
    <w:p>
      <w:pPr>
        <w:spacing w:after="0" w:before="0" w:line="260" w:lineRule="exact"/>
        <w:ind w:firstLine="190"/>
        <w:jc w:val="both"/>
      </w:pPr>
      <w:r>
        <w:rPr>
          <w:rFonts w:ascii="함초롬돋움" w:cs="함초롬돋움" w:eastAsia="함초롬돋움" w:hAnsi="함초롬돋움"/>
          <w:sz w:val="18"/>
          <w:szCs w:val="18"/>
        </w:rPr>
        <w:t xml:space="preserve">기존 분자별 모델은 분자를 각각 입력해 활성을 예측한 뒤 그 차이로 활성 변화를 계산한다. 그러나 cliff 예측에는 절대 활성보다 구조 변화에 따른 활성 차이가 중요하며, 분자를 따로 입력하면 이 정보가 직접 주어지지 않고 두 예측의 오차도 차이에 반영된다. 두 분자를 함께 예측하는 델타 학습 역시 두 예측값이 함께 틀려도 차이만 맞으면 성능이 높아 보일 수 있다. 본 연구는 학습에서 본 기준 분자의 실측값을 명시해 보지 못한 분자의 활성을 예측한다.</w:t>
      </w:r>
    </w:p>
    <w:p>
      <w:pPr>
        <w:spacing w:after="0" w:before="0" w:line="260" w:lineRule="exact"/>
        <w:ind w:firstLine="190"/>
        <w:jc w:val="both"/>
      </w:pPr>
      <w:r>
        <w:rPr>
          <w:rFonts w:ascii="함초롬돋움" w:cs="함초롬돋움" w:eastAsia="함초롬돋움" w:hAnsi="함초롬돋움"/>
          <w:sz w:val="18"/>
          <w:szCs w:val="18"/>
        </w:rPr>
        <w:t xml:space="preserve">본 연구는 두 분자와 변화 부위를 함께 입력하는 쌍 입력 그래프 신경망을 제안한다. 사전학습 여부가 다른 두 인코더에서 인코더, 예측 헤드가 동일한 분자별 모델과 비교해 쌍 입력의 효과를 검증하였다. 또한 기준 분자의 실측값으로 보지 못한 분자 하나를 채점해 오차 상쇄를 줄이고, 타깃 간 분자 누수를 통제한 평가 절차를 구성하였다.</w:t>
      </w:r>
    </w:p>
    <w:p>
      <w:pPr>
        <w:keepNext/>
        <w:spacing w:after="40" w:before="100" w:line="290" w:lineRule="exact"/>
      </w:pPr>
      <w:r>
        <w:rPr>
          <w:rFonts w:ascii="함초롬돋움" w:cs="함초롬돋움" w:eastAsia="함초롬돋움" w:hAnsi="함초롬돋움"/>
          <w:b/>
          <w:bCs/>
          <w:sz w:val="20"/>
          <w:szCs w:val="20"/>
        </w:rPr>
        <w:t xml:space="preserve">2. 관련 연구</w:t>
      </w:r>
    </w:p>
    <w:p>
      <w:pPr>
        <w:spacing w:after="0" w:before="0" w:line="260" w:lineRule="exact"/>
        <w:ind w:firstLine="190"/>
        <w:jc w:val="both"/>
      </w:pPr>
      <w:r>
        <w:rPr>
          <w:rFonts w:ascii="함초롬돋움" w:cs="함초롬돋움" w:eastAsia="함초롬돋움" w:hAnsi="함초롬돋움"/>
          <w:sz w:val="18"/>
          <w:szCs w:val="18"/>
        </w:rPr>
        <w:t xml:space="preserve">Dablander 등은 쌍 기반 구조가 cliff 예측에 유망하다고 보았다[4]. DeepDelta는 두 분자를 입력해 ADMET 차이를 예측했고[5], Zhang 등은 유사 분자 기준의 차이 예측을 제안했다[6]. SQRL은 유사 쌍의 상대 차이로 사전학습 인코더를 미세조정했다[7]. Mole-BERT는 GIN[8]을 ZINC 200만 분자로 자기지도 사전학습한 모델이며[9], MTPNet은 이를 MoleculeACE에 적용했지만 분자별 입력 방식이다[10]. 본 연구는 변화 원자만 표현하는 인코더를 추가하고, 누수를 통제한 뒤 동일 인코더의 분자별 모델과 비교한다.</w:t>
      </w:r>
    </w:p>
    <w:p>
      <w:pPr>
        <w:keepNext/>
        <w:spacing w:after="40" w:before="100" w:line="290" w:lineRule="exact"/>
      </w:pPr>
      <w:r>
        <w:rPr>
          <w:rFonts w:ascii="함초롬돋움" w:cs="함초롬돋움" w:eastAsia="함초롬돋움" w:hAnsi="함초롬돋움"/>
          <w:b/>
          <w:bCs/>
          <w:sz w:val="20"/>
          <w:szCs w:val="20"/>
        </w:rPr>
        <w:t xml:space="preserve">3. 방  법</w:t>
      </w:r>
    </w:p>
    <w:p>
      <w:pPr>
        <w:keepNext/>
        <w:spacing w:after="20" w:before="80" w:line="260" w:lineRule="exact"/>
      </w:pPr>
      <w:r>
        <w:rPr>
          <w:rFonts w:ascii="함초롬돋움" w:cs="함초롬돋움" w:eastAsia="함초롬돋움" w:hAnsi="함초롬돋움"/>
          <w:b/>
          <w:bCs/>
          <w:sz w:val="18"/>
          <w:szCs w:val="18"/>
        </w:rPr>
        <w:t xml:space="preserve">3.1 데이터와 쌍 구성</w:t>
      </w:r>
    </w:p>
    <w:p>
      <w:pPr>
        <w:spacing w:after="0" w:before="0" w:line="260" w:lineRule="exact"/>
        <w:ind w:firstLine="190"/>
        <w:jc w:val="both"/>
      </w:pPr>
      <w:r>
        <w:rPr>
          <w:rFonts w:ascii="함초롬돋움" w:cs="함초롬돋움" w:eastAsia="함초롬돋움" w:hAnsi="함초롬돋움"/>
          <w:sz w:val="18"/>
          <w:szCs w:val="18"/>
        </w:rPr>
        <w:t xml:space="preserve">MoleculeACE[2]의 30개 타깃(Ki 23개, EC50 7개, 48,714행, 고유 SMILES 35,633개)을 사용하였다. 활성은 pKi, pEC50(log10 단위)로 나타냈으며, MoleculeACE 분할을 따르고 학습 분자의 20%를 검증에 할당하였다(시드 0).</w:t>
      </w:r>
    </w:p>
    <w:p>
      <w:pPr>
        <w:spacing w:after="0" w:before="0" w:line="260" w:lineRule="exact"/>
        <w:ind w:firstLine="190"/>
        <w:jc w:val="both"/>
      </w:pPr>
      <w:r>
        <w:rPr>
          <w:rFonts w:ascii="함초롬돋움" w:cs="함초롬돋움" w:eastAsia="함초롬돋움" w:hAnsi="함초롬돋움"/>
          <w:b/>
          <w:bCs/>
          <w:sz w:val="18"/>
          <w:szCs w:val="18"/>
        </w:rPr>
        <w:t xml:space="preserve">학습 쌍.  </w:t>
      </w:r>
      <w:r>
        <w:rPr>
          <w:rFonts w:ascii="함초롬돋움" w:cs="함초롬돋움" w:eastAsia="함초롬돋움" w:hAnsi="함초롬돋움"/>
          <w:sz w:val="18"/>
          <w:szCs w:val="18"/>
        </w:rPr>
        <w:t xml:space="preserve">같은 타깃 안에서 ECFP4(2,048비트)의 Tanimoto 유사도가 0.5 이상인 분자를 짝지었다. 학습 쌍은 학습 분자끼리, 검증 쌍은 검증-학습 분자 사이에서 구성했다. 타깃마다 활성 기준이 다르므로 타깃 간 쌍은 만들지 않았고, 유사도 하한은 변화 부위 식별을 위한 것이다. 학습에는 여러 곳이 바뀐 쌍도 포함했다. 한 곳만 바뀐 쌍으로 제한하면 표본이 약 5배 감소하기 때문이다(양방향 포함 266,115쌍).</w:t>
      </w:r>
    </w:p>
    <w:p>
      <w:pPr>
        <w:spacing w:after="0" w:before="0" w:line="260" w:lineRule="exact"/>
        <w:ind w:firstLine="190"/>
        <w:jc w:val="both"/>
      </w:pPr>
      <w:r>
        <w:rPr>
          <w:rFonts w:ascii="함초롬돋움" w:cs="함초롬돋움" w:eastAsia="함초롬돋움" w:hAnsi="함초롬돋움"/>
          <w:b/>
          <w:bCs/>
          <w:sz w:val="18"/>
          <w:szCs w:val="18"/>
        </w:rPr>
        <w:t xml:space="preserve">평가 쌍.  </w:t>
      </w:r>
      <w:r>
        <w:rPr>
          <w:rFonts w:ascii="함초롬돋움" w:cs="함초롬돋움" w:eastAsia="함초롬돋움" w:hAnsi="함초롬돋움"/>
          <w:sz w:val="18"/>
          <w:szCs w:val="18"/>
        </w:rPr>
        <w:t xml:space="preserve">평가-학습 분자 간 188,889쌍 중 MCS(RDKit FindMCS, 제한 시간 5초) 밖의 변화가 하나의 연결 부위이고 10원자 이하인 38,711쌍을 평가에 사용했다. 한 부위씩 바꾼 유사체 비교를 반영한 설정이며, 활성값이나 예측값이 아닌 구조만으로 선별해 선택 편향을 줄였다.</w:t>
      </w:r>
    </w:p>
    <w:p>
      <w:pPr>
        <w:spacing w:after="0" w:before="0" w:line="260" w:lineRule="exact"/>
        <w:ind w:firstLine="190"/>
        <w:jc w:val="both"/>
      </w:pPr>
      <w:r>
        <w:rPr>
          <w:rFonts w:ascii="함초롬돋움" w:cs="함초롬돋움" w:eastAsia="함초롬돋움" w:hAnsi="함초롬돋움"/>
          <w:b/>
          <w:bCs/>
          <w:sz w:val="18"/>
          <w:szCs w:val="18"/>
        </w:rPr>
        <w:t xml:space="preserve">기준 분자 설계.  </w:t>
      </w:r>
      <w:r>
        <w:rPr>
          <w:rFonts w:ascii="함초롬돋움" w:cs="함초롬돋움" w:eastAsia="함초롬돋움" w:hAnsi="함초롬돋움"/>
          <w:sz w:val="18"/>
          <w:szCs w:val="18"/>
        </w:rPr>
        <w:t xml:space="preserve">각 평가 쌍은 실측값을 아는 학습 분자 A(기준 분자, anchor)와 학습에 없는 분자 B로 구성한다. 목표는 차이 자체가 아니라 A의 실측값으로 B의 활성을 추정하는 것이다. 두 미지 분자의 차이만 평가하면 실제 값이 3과 0인 쌍을 13과 10으로 예측해도 차이는 맞지만, A의 실측값을 고정하면 B의 오차가 드러난다. Cliff는 |Δ| ≥ 1인 쌍으로 정의했으며, 8,778쌍(22.7%)이 해당한다.</w:t>
      </w:r>
    </w:p>
    <w:p>
      <w:pPr>
        <w:spacing w:after="0" w:before="0" w:line="260" w:lineRule="exact"/>
        <w:ind w:firstLine="190"/>
        <w:jc w:val="both"/>
      </w:pPr>
      <w:r>
        <w:rPr>
          <w:rFonts w:ascii="함초롬돋움" w:cs="함초롬돋움" w:eastAsia="함초롬돋움" w:hAnsi="함초롬돋움"/>
          <w:b/>
          <w:bCs/>
          <w:sz w:val="18"/>
          <w:szCs w:val="18"/>
        </w:rPr>
        <w:t xml:space="preserve">타깃 간 누수 통제.  </w:t>
      </w:r>
      <w:r>
        <w:rPr>
          <w:rFonts w:ascii="함초롬돋움" w:cs="함초롬돋움" w:eastAsia="함초롬돋움" w:hAnsi="함초롬돋움"/>
          <w:sz w:val="18"/>
          <w:szCs w:val="18"/>
        </w:rPr>
        <w:t xml:space="preserve">한 타깃의 평가 분자가 다른 타깃의 학습 분자로 포함될 수 있으며, 통제 전 평가 행 9,802개 중 3,884개(39.6%)가 이에 해당했다. 이를 막기 위해 해당 분자 3,545개를 다른 타깃의 학습·검증에서 제외하고, 비교를 위해 평가 분할은 유지했다(통제 후 학습/검증/평가 27,061/6,758/9,802행). 같은 예비 모델로 비교하면 cliff RMSE는 누수 통제 전 0.893, 통제 후 0.992였다.</w:t>
      </w:r>
    </w:p>
    <w:p>
      <w:pPr>
        <w:keepNext/>
        <w:spacing w:after="20" w:before="80" w:line="260" w:lineRule="exact"/>
      </w:pPr>
      <w:r>
        <w:rPr>
          <w:rFonts w:ascii="함초롬돋움" w:cs="함초롬돋움" w:eastAsia="함초롬돋움" w:hAnsi="함초롬돋움"/>
          <w:b/>
          <w:bCs/>
          <w:sz w:val="18"/>
          <w:szCs w:val="18"/>
        </w:rPr>
        <w:t xml:space="preserve">3.2 모델</w:t>
      </w:r>
    </w:p>
    <w:p>
      <w:pPr>
        <w:spacing w:after="0" w:before="0" w:line="260" w:lineRule="exact"/>
        <w:ind w:firstLine="190"/>
        <w:jc w:val="both"/>
      </w:pPr>
      <w:r>
        <w:rPr>
          <w:rFonts w:ascii="함초롬돋움" w:cs="함초롬돋움" w:eastAsia="함초롬돋움" w:hAnsi="함초롬돋움"/>
          <w:sz w:val="18"/>
          <w:szCs w:val="18"/>
        </w:rPr>
        <w:t xml:space="preserve">분자 인코더는 전체 원자 벡터의 평균 h를, 변화 부위 인코더는 MCS 밖의 변화 원자 벡터 평균 f를 산출한다(그림 1). 두 인코더는 가중치를 공유하지 않으며 A와 B에 동일한 구조를 적용한다.</w:t>
      </w:r>
    </w:p>
    <w:p>
      <w:pPr>
        <w:keepNext/>
        <w:spacing w:after="0" w:before="80"/>
        <w:jc w:val="center"/>
      </w:pPr>
      <w:r>
        <w:drawing>
          <wp:inline distT="0" distB="0" distL="0" distR="0">
            <wp:extent cx="3168396" cy="178460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168396" cy="1784604"/>
                    </a:xfrm>
                    <a:prstGeom prst="rect">
                      <a:avLst/>
                    </a:prstGeom>
                  </pic:spPr>
                </pic:pic>
              </a:graphicData>
            </a:graphic>
          </wp:inline>
        </w:drawing>
      </w:r>
    </w:p>
    <w:p>
      <w:pPr>
        <w:keepLines/>
        <w:spacing w:after="80" w:before="60" w:line="250" w:lineRule="exact"/>
        <w:jc w:val="both"/>
      </w:pPr>
      <w:r>
        <w:rPr>
          <w:rFonts w:ascii="함초롬돋움" w:cs="함초롬돋움" w:eastAsia="함초롬돋움" w:hAnsi="함초롬돋움"/>
          <w:sz w:val="18"/>
          <w:szCs w:val="18"/>
        </w:rPr>
        <w:t xml:space="preserve">그림 1  쌍 입력 모델 구조. 분자 표현 h와 변화 부위 표현 f를 연결해 활성 차이 </w:t>
      </w:r>
      <w:r>
        <w:rPr>
          <w:rFonts w:ascii="Helvetica" w:cs="Helvetica" w:eastAsia="Helvetica" w:hAnsi="Helvetica"/>
          <w:sz w:val="18"/>
          <w:szCs w:val="18"/>
        </w:rPr>
        <w:t xml:space="preserve">Δ̂</w:t>
      </w:r>
      <w:r>
        <w:rPr>
          <w:rFonts w:ascii="함초롬돋움" w:cs="함초롬돋움" w:eastAsia="함초롬돋움" w:hAnsi="함초롬돋움"/>
          <w:sz w:val="18"/>
          <w:szCs w:val="18"/>
        </w:rPr>
        <w:t xml:space="preserve">를 예측한다(CHEMBL287_Ki 평가 쌍, 남색 원은 변화 원자, Δ = −2.36).</w:t>
      </w:r>
    </w:p>
    <w:p>
      <w:pPr>
        <w:spacing w:after="0" w:before="0" w:line="260" w:lineRule="exact"/>
        <w:ind w:firstLine="190"/>
        <w:jc w:val="both"/>
      </w:pPr>
      <w:r>
        <w:rPr>
          <w:rFonts w:ascii="함초롬돋움" w:cs="함초롬돋움" w:eastAsia="함초롬돋움" w:hAnsi="함초롬돋움"/>
          <w:sz w:val="18"/>
          <w:szCs w:val="18"/>
        </w:rPr>
        <w:t xml:space="preserve">h(A), h(B), h(B) − h(A), f(A), f(B)에 편집 정보 6차원(교체·추가·삭제 여부, 변화 부위 수, 변화 원자 수, 조각 여부)과 타깃 one-hot 30차원을 연결해 입력한다. 인코더는 GINE[11]와 ZINC 200만 분자로 사전학습한 Mole-BERT[9]이며, 모든 신경망의 예측 헤드는 은닉층 2개(폭 1,024)로 통일했다.</w:t>
      </w:r>
    </w:p>
    <w:p>
      <w:pPr>
        <w:spacing w:after="0" w:before="0" w:line="260" w:lineRule="exact"/>
        <w:ind w:firstLine="190"/>
        <w:jc w:val="both"/>
      </w:pPr>
      <w:r>
        <w:rPr>
          <w:rFonts w:ascii="함초롬돋움" w:cs="함초롬돋움" w:eastAsia="함초롬돋움" w:hAnsi="함초롬돋움"/>
          <w:sz w:val="18"/>
          <w:szCs w:val="18"/>
        </w:rPr>
        <w:t xml:space="preserve">비교 대상인 분자별 모델(그림 2)은 A와 B를 같은 인코더에 각각 넣고, 분자 표현 h와 타깃 one-hot을 같은 헤드에 입력해 두 분자의 활성을 따로 예측한 뒤 그 차이를 </w:t>
      </w:r>
      <w:r>
        <w:rPr>
          <w:rFonts w:ascii="Helvetica" w:cs="Helvetica" w:eastAsia="Helvetica" w:hAnsi="Helvetica"/>
          <w:sz w:val="18"/>
          <w:szCs w:val="18"/>
        </w:rPr>
        <w:t xml:space="preserve">Δ̂</w:t>
      </w:r>
      <w:r>
        <w:rPr>
          <w:rFonts w:ascii="함초롬돋움" w:cs="함초롬돋움" w:eastAsia="함초롬돋움" w:hAnsi="함초롬돋움"/>
          <w:sz w:val="18"/>
          <w:szCs w:val="18"/>
        </w:rPr>
        <w:t xml:space="preserve">로 삼는다. 쌍 입력 모델과 달리 두 분자의 관계(h(B) − h(A))와 변화 부위가 입력에 없으며, 두 예측의 오차가 </w:t>
      </w:r>
      <w:r>
        <w:rPr>
          <w:rFonts w:ascii="Helvetica" w:cs="Helvetica" w:eastAsia="Helvetica" w:hAnsi="Helvetica"/>
          <w:sz w:val="18"/>
          <w:szCs w:val="18"/>
        </w:rPr>
        <w:t xml:space="preserve">Δ̂</w:t>
      </w:r>
      <w:r>
        <w:rPr>
          <w:rFonts w:ascii="함초롬돋움" w:cs="함초롬돋움" w:eastAsia="함초롬돋움" w:hAnsi="함초롬돋움"/>
          <w:sz w:val="18"/>
          <w:szCs w:val="18"/>
        </w:rPr>
        <w:t xml:space="preserve">에 함께 반영된다.</w:t>
      </w:r>
    </w:p>
    <w:p>
      <w:pPr>
        <w:keepNext/>
        <w:spacing w:after="0" w:before="80"/>
        <w:jc w:val="center"/>
      </w:pPr>
      <w:r>
        <w:drawing>
          <wp:inline distT="0" distB="0" distL="0" distR="0">
            <wp:extent cx="3168396" cy="1353312"/>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68396" cy="1353312"/>
                    </a:xfrm>
                    <a:prstGeom prst="rect">
                      <a:avLst/>
                    </a:prstGeom>
                  </pic:spPr>
                </pic:pic>
              </a:graphicData>
            </a:graphic>
          </wp:inline>
        </w:drawing>
      </w:r>
    </w:p>
    <w:p>
      <w:pPr>
        <w:keepLines/>
        <w:spacing w:after="80" w:before="60" w:line="250" w:lineRule="exact"/>
        <w:jc w:val="both"/>
      </w:pPr>
      <w:r>
        <w:rPr>
          <w:rFonts w:ascii="함초롬돋움" w:cs="함초롬돋움" w:eastAsia="함초롬돋움" w:hAnsi="함초롬돋움"/>
          <w:sz w:val="18"/>
          <w:szCs w:val="18"/>
        </w:rPr>
        <w:t xml:space="preserve">그림 2  분자별 Mole-BERT 모델 구조. A와 B의 활성을 같은 인코더·헤드로 각각 예측해 그 차이를 </w:t>
      </w:r>
      <w:r>
        <w:rPr>
          <w:rFonts w:ascii="Helvetica" w:cs="Helvetica" w:eastAsia="Helvetica" w:hAnsi="Helvetica"/>
          <w:sz w:val="18"/>
          <w:szCs w:val="18"/>
        </w:rPr>
        <w:t xml:space="preserve">Δ̂</w:t>
      </w:r>
      <w:r>
        <w:rPr>
          <w:rFonts w:ascii="함초롬돋움" w:cs="함초롬돋움" w:eastAsia="함초롬돋움" w:hAnsi="함초롬돋움"/>
          <w:sz w:val="18"/>
          <w:szCs w:val="18"/>
        </w:rPr>
        <w:t xml:space="preserve">로 삼으며, 변화 부위 정보는 쓰지 않는다(그림 1과 같은 평가 쌍, 헤드는 1,024 → 1,024 → 1).</w:t>
      </w:r>
    </w:p>
    <w:p>
      <w:pPr>
        <w:keepNext/>
        <w:spacing w:after="20" w:before="80" w:line="260" w:lineRule="exact"/>
      </w:pPr>
      <w:r>
        <w:rPr>
          <w:rFonts w:ascii="함초롬돋움" w:cs="함초롬돋움" w:eastAsia="함초롬돋움" w:hAnsi="함초롬돋움"/>
          <w:b/>
          <w:bCs/>
          <w:sz w:val="18"/>
          <w:szCs w:val="18"/>
        </w:rPr>
        <w:t xml:space="preserve">3.3 손실·학습·평가 설정</w:t>
      </w:r>
    </w:p>
    <w:p>
      <w:pPr>
        <w:spacing w:after="0" w:before="0" w:line="260" w:lineRule="exact"/>
        <w:ind w:firstLine="190"/>
        <w:jc w:val="both"/>
      </w:pPr>
      <w:r>
        <w:rPr>
          <w:rFonts w:ascii="함초롬돋움" w:cs="함초롬돋움" w:eastAsia="함초롬돋움" w:hAnsi="함초롬돋움"/>
          <w:sz w:val="18"/>
          <w:szCs w:val="18"/>
        </w:rPr>
        <w:t xml:space="preserve">모델은 Δ = p(B) − p(A)의 예측값 </w:t>
      </w:r>
      <w:r>
        <w:rPr>
          <w:rFonts w:ascii="Helvetica" w:cs="Helvetica" w:eastAsia="Helvetica" w:hAnsi="Helvetica"/>
          <w:sz w:val="18"/>
          <w:szCs w:val="18"/>
        </w:rPr>
        <w:t xml:space="preserve">Δ̂</w:t>
      </w:r>
      <w:r>
        <w:rPr>
          <w:rFonts w:ascii="함초롬돋움" w:cs="함초롬돋움" w:eastAsia="함초롬돋움" w:hAnsi="함초롬돋움"/>
          <w:sz w:val="18"/>
          <w:szCs w:val="18"/>
        </w:rPr>
        <w:t xml:space="preserve">를 출력하며, 손실은 L = (p(A) + </w:t>
      </w:r>
      <w:r>
        <w:rPr>
          <w:rFonts w:ascii="Helvetica" w:cs="Helvetica" w:eastAsia="Helvetica" w:hAnsi="Helvetica"/>
          <w:sz w:val="18"/>
          <w:szCs w:val="18"/>
        </w:rPr>
        <w:t xml:space="preserve">Δ̂</w:t>
      </w:r>
      <w:r>
        <w:rPr>
          <w:rFonts w:ascii="함초롬돋움" w:cs="함초롬돋움" w:eastAsia="함초롬돋움" w:hAnsi="함초롬돋움"/>
          <w:sz w:val="18"/>
          <w:szCs w:val="18"/>
        </w:rPr>
        <w:t xml:space="preserve"> − p(B))²로 정의한다. 이는 (</w:t>
      </w:r>
      <w:r>
        <w:rPr>
          <w:rFonts w:ascii="Helvetica" w:cs="Helvetica" w:eastAsia="Helvetica" w:hAnsi="Helvetica"/>
          <w:sz w:val="18"/>
          <w:szCs w:val="18"/>
        </w:rPr>
        <w:t xml:space="preserve">Δ̂</w:t>
      </w:r>
      <w:r>
        <w:rPr>
          <w:rFonts w:ascii="함초롬돋움" w:cs="함초롬돋움" w:eastAsia="함초롬돋움" w:hAnsi="함초롬돋움"/>
          <w:sz w:val="18"/>
          <w:szCs w:val="18"/>
        </w:rPr>
        <w:t xml:space="preserve"> − Δ)²와 같아 일반적인 MSE와 동일하다. 핵심은 기준 분자의 실측값을 고정해 B의 오차를 직접 줄이도록 문제를 구성한 데 있다. 입력 순서의 영향은 </w:t>
      </w:r>
      <w:r>
        <w:rPr>
          <w:rFonts w:ascii="Helvetica" w:cs="Helvetica" w:eastAsia="Helvetica" w:hAnsi="Helvetica"/>
          <w:sz w:val="18"/>
          <w:szCs w:val="18"/>
        </w:rPr>
        <w:t xml:space="preserve">Δ̂</w:t>
      </w:r>
      <w:r>
        <w:rPr>
          <w:rFonts w:ascii="함초롬돋움" w:cs="함초롬돋움" w:eastAsia="함초롬돋움" w:hAnsi="함초롬돋움"/>
          <w:sz w:val="18"/>
          <w:szCs w:val="18"/>
        </w:rPr>
        <w:t xml:space="preserve"> = [g(A, B) − g(B, A)] / 2로 제거하였다(g는 모델 출력).</w:t>
      </w:r>
    </w:p>
    <w:p>
      <w:pPr>
        <w:spacing w:after="0" w:before="0" w:line="260" w:lineRule="exact"/>
        <w:ind w:firstLine="190"/>
        <w:jc w:val="both"/>
      </w:pPr>
      <w:r>
        <w:rPr>
          <w:rFonts w:ascii="함초롬돋움" w:cs="함초롬돋움" w:eastAsia="함초롬돋움" w:hAnsi="함초롬돋움"/>
          <w:sz w:val="18"/>
          <w:szCs w:val="18"/>
        </w:rPr>
        <w:t xml:space="preserve">30개 타깃을 하나의 신경망으로 학습했다. Adam, 가중치 감쇠 1e-4, 배치 256을 사용했고, 학습률은 일반 인코더 1e-3, Mole-BERT 인코더 1e-4로 설정했다. 검증 RMSE가 쌍 입력은 8에폭, 분자별은 20에폭 연속 개선되지 않으면 학습을 종료했다. 결과는 시드 3개의 평균이며 ECFP+MLP와 ECFP+SVR은 MoleculeACE 설정을 따랐다.</w:t>
      </w:r>
    </w:p>
    <w:p>
      <w:pPr>
        <w:spacing w:after="0" w:before="0" w:line="260" w:lineRule="exact"/>
        <w:ind w:firstLine="190"/>
        <w:jc w:val="both"/>
      </w:pPr>
      <w:r>
        <w:rPr>
          <w:rFonts w:ascii="함초롬돋움" w:cs="함초롬돋움" w:eastAsia="함초롬돋움" w:hAnsi="함초롬돋움"/>
          <w:sz w:val="18"/>
          <w:szCs w:val="18"/>
        </w:rPr>
        <w:t xml:space="preserve">평가 RMSE는 A의 실측 활성에 </w:t>
      </w:r>
      <w:r>
        <w:rPr>
          <w:rFonts w:ascii="Helvetica" w:cs="Helvetica" w:eastAsia="Helvetica" w:hAnsi="Helvetica"/>
          <w:sz w:val="18"/>
          <w:szCs w:val="18"/>
        </w:rPr>
        <w:t xml:space="preserve">Δ̂</w:t>
      </w:r>
      <w:r>
        <w:rPr>
          <w:rFonts w:ascii="함초롬돋움" w:cs="함초롬돋움" w:eastAsia="함초롬돋움" w:hAnsi="함초롬돋움"/>
          <w:sz w:val="18"/>
          <w:szCs w:val="18"/>
        </w:rPr>
        <w:t xml:space="preserve">를 더한 B 추정값과 B 실측값 사이에서 계산했으며, 분자별 모델도 같은 기준을 사용했다. 평가 분자는 평균 5.33개, 최대 76개 쌍에 포함되어 쌍 간 독립성이 보장되지 않는다. 따라서 타깃별 cliff RMSE 30쌍에 Wilcoxon 부호순위 검정을 적용하고, 95% 신뢰구간은 평가 분자 단위 군집 부트스트랩 2,000회로 구했다.</w:t>
      </w:r>
    </w:p>
    <w:p>
      <w:pPr>
        <w:keepNext/>
        <w:spacing w:after="40" w:before="100" w:line="290" w:lineRule="exact"/>
      </w:pPr>
      <w:r>
        <w:rPr>
          <w:rFonts w:ascii="함초롬돋움" w:cs="함초롬돋움" w:eastAsia="함초롬돋움" w:hAnsi="함초롬돋움"/>
          <w:b/>
          <w:bCs/>
          <w:sz w:val="20"/>
          <w:szCs w:val="20"/>
        </w:rPr>
        <w:t xml:space="preserve">4. 실험 결과</w:t>
      </w:r>
    </w:p>
    <w:p>
      <w:pPr>
        <w:keepNext/>
        <w:spacing w:after="20" w:before="80" w:line="260" w:lineRule="exact"/>
      </w:pPr>
      <w:r>
        <w:rPr>
          <w:rFonts w:ascii="함초롬돋움" w:cs="함초롬돋움" w:eastAsia="함초롬돋움" w:hAnsi="함초롬돋움"/>
          <w:b/>
          <w:bCs/>
          <w:sz w:val="18"/>
          <w:szCs w:val="18"/>
        </w:rPr>
        <w:t xml:space="preserve">4.1 주 결과</w:t>
      </w:r>
    </w:p>
    <w:p>
      <w:pPr>
        <w:spacing w:after="0" w:before="0" w:line="260" w:lineRule="exact"/>
        <w:ind w:firstLine="190"/>
        <w:jc w:val="both"/>
      </w:pPr>
      <w:r>
        <w:rPr>
          <w:rFonts w:ascii="함초롬돋움" w:cs="함초롬돋움" w:eastAsia="함초롬돋움" w:hAnsi="함초롬돋움"/>
          <w:sz w:val="18"/>
          <w:szCs w:val="18"/>
        </w:rPr>
        <w:t xml:space="preserve">표 1에서 분자별 그래프 신경망의 cliff RMSE는 GINE 1.157, Mole-BERT 1.158로 ECFP+SVR(0.914)보다 높았다. 반면 Mole-BERT 쌍 입력은 0.889로 ECFP+SVR과 대등했다(더 정확한 타깃 13/30, Wilcoxon p=0.70). 전체 RMSE도 각각 0.592와 0.591로 비슷했으며, non-cliff에서는 ECFP+SVR이 0.455로 가장 낮았다.</w:t>
      </w:r>
    </w:p>
    <w:p>
      <w:pPr>
        <w:keepNext/>
        <w:keepLines/>
        <w:spacing w:after="40" w:before="80" w:line="250" w:lineRule="exact"/>
        <w:jc w:val="both"/>
      </w:pPr>
      <w:r>
        <w:rPr>
          <w:rFonts w:ascii="함초롬돋움" w:cs="함초롬돋움" w:eastAsia="함초롬돋움" w:hAnsi="함초롬돋움"/>
          <w:sz w:val="18"/>
          <w:szCs w:val="18"/>
        </w:rPr>
        <w:t xml:space="preserve">표 1  모델별 평가 RMSE (pKi 단위)</w:t>
      </w:r>
    </w:p>
    <w:tbl>
      <w:tblPr>
        <w:tblW w:type="dxa" w:w="5000"/>
        <w:jc w:val="center"/>
        <w:tblBorders>
          <w:top w:val="none" w:color="FFFFFF" w:sz="0"/>
          <w:left w:val="none" w:color="FFFFFF" w:sz="0"/>
          <w:bottom w:val="none" w:color="FFFFFF" w:sz="0"/>
          <w:right w:val="none" w:color="FFFFFF" w:sz="0"/>
          <w:insideH w:val="none" w:color="FFFFFF" w:sz="0"/>
          <w:insideV w:val="none" w:color="FFFFFF" w:sz="0"/>
        </w:tblBorders>
      </w:tblPr>
      <w:tblGrid>
        <w:gridCol w:w="760"/>
        <w:gridCol w:w="1640"/>
        <w:gridCol w:w="820"/>
        <w:gridCol w:w="1000"/>
        <w:gridCol w:w="780"/>
      </w:tblGrid>
      <w:tr>
        <w:trPr>
          <w:cantSplit/>
        </w:trPr>
        <w:tc>
          <w:tcPr>
            <w:tcW w:type="dxa" w:w="760"/>
            <w:tcBorders>
              <w:top w:val="single" w:color="000000" w:sz="10"/>
              <w:left w:val="none" w:color="FFFFFF" w:sz="0"/>
              <w:bottom w:val="single" w:color="000000" w:sz="4"/>
              <w:right w:val="none" w:color="FFFFFF" w:sz="0"/>
            </w:tcBorders>
            <w:tcMar>
              <w:top w:type="dxa" w:w="15"/>
              <w:left w:type="dxa" w:w="60"/>
              <w:bottom w:type="dxa" w:w="15"/>
              <w:right w:type="dxa" w:w="60"/>
            </w:tcMar>
            <w:vAlign w:val="center"/>
          </w:tcPr>
          <w:p>
            <w:pPr>
              <w:keepNext/>
              <w:spacing w:after="0" w:before="0" w:line="240" w:lineRule="exact"/>
              <w:jc w:val="left"/>
            </w:pPr>
            <w:r>
              <w:rPr>
                <w:rFonts w:ascii="함초롬돋움" w:cs="함초롬돋움" w:eastAsia="함초롬돋움" w:hAnsi="함초롬돋움"/>
                <w:sz w:val="18"/>
                <w:szCs w:val="18"/>
              </w:rPr>
              <w:t xml:space="preserve">입력</w:t>
            </w:r>
          </w:p>
        </w:tc>
        <w:tc>
          <w:tcPr>
            <w:tcW w:type="dxa" w:w="1640"/>
            <w:tcBorders>
              <w:top w:val="single" w:color="000000" w:sz="10"/>
              <w:left w:val="none" w:color="FFFFFF" w:sz="0"/>
              <w:bottom w:val="single" w:color="000000" w:sz="4"/>
              <w:right w:val="none" w:color="FFFFFF" w:sz="0"/>
            </w:tcBorders>
            <w:tcMar>
              <w:top w:type="dxa" w:w="15"/>
              <w:left w:type="dxa" w:w="60"/>
              <w:bottom w:type="dxa" w:w="15"/>
              <w:right w:type="dxa" w:w="60"/>
            </w:tcMar>
            <w:vAlign w:val="center"/>
          </w:tcPr>
          <w:p>
            <w:pPr>
              <w:keepNext/>
              <w:spacing w:after="0" w:before="0" w:line="240" w:lineRule="exact"/>
              <w:jc w:val="left"/>
            </w:pPr>
            <w:r>
              <w:rPr>
                <w:rFonts w:ascii="함초롬돋움" w:cs="함초롬돋움" w:eastAsia="함초롬돋움" w:hAnsi="함초롬돋움"/>
                <w:sz w:val="18"/>
                <w:szCs w:val="18"/>
              </w:rPr>
              <w:t xml:space="preserve">모델</w:t>
            </w:r>
          </w:p>
        </w:tc>
        <w:tc>
          <w:tcPr>
            <w:tcW w:type="dxa" w:w="820"/>
            <w:tcBorders>
              <w:top w:val="single" w:color="000000" w:sz="10"/>
              <w:left w:val="none" w:color="FFFFFF" w:sz="0"/>
              <w:bottom w:val="single" w:color="000000" w:sz="4"/>
              <w:right w:val="none" w:color="FFFFFF" w:sz="0"/>
            </w:tcBorders>
            <w:tcMar>
              <w:top w:type="dxa" w:w="15"/>
              <w:left w:type="dxa" w:w="60"/>
              <w:bottom w:type="dxa" w:w="15"/>
              <w:right w:type="dxa" w:w="60"/>
            </w:tcMar>
            <w:vAlign w:val="center"/>
          </w:tcPr>
          <w:p>
            <w:pPr>
              <w:keepNext/>
              <w:spacing w:after="0" w:before="0" w:line="240" w:lineRule="exact"/>
              <w:jc w:val="center"/>
            </w:pPr>
            <w:r>
              <w:rPr>
                <w:rFonts w:ascii="함초롬돋움" w:cs="함초롬돋움" w:eastAsia="함초롬돋움" w:hAnsi="함초롬돋움"/>
                <w:sz w:val="18"/>
                <w:szCs w:val="18"/>
              </w:rPr>
              <w:t xml:space="preserve">cliff</w:t>
            </w:r>
          </w:p>
        </w:tc>
        <w:tc>
          <w:tcPr>
            <w:tcW w:type="dxa" w:w="1000"/>
            <w:tcBorders>
              <w:top w:val="single" w:color="000000" w:sz="10"/>
              <w:left w:val="none" w:color="FFFFFF" w:sz="0"/>
              <w:bottom w:val="single" w:color="000000" w:sz="4"/>
              <w:right w:val="none" w:color="FFFFFF" w:sz="0"/>
            </w:tcBorders>
            <w:tcMar>
              <w:top w:type="dxa" w:w="15"/>
              <w:left w:type="dxa" w:w="60"/>
              <w:bottom w:type="dxa" w:w="15"/>
              <w:right w:type="dxa" w:w="60"/>
            </w:tcMar>
            <w:vAlign w:val="center"/>
          </w:tcPr>
          <w:p>
            <w:pPr>
              <w:keepNext/>
              <w:spacing w:after="0" w:before="0" w:line="240" w:lineRule="exact"/>
              <w:jc w:val="center"/>
            </w:pPr>
            <w:r>
              <w:rPr>
                <w:rFonts w:ascii="함초롬돋움" w:cs="함초롬돋움" w:eastAsia="함초롬돋움" w:hAnsi="함초롬돋움"/>
                <w:sz w:val="18"/>
                <w:szCs w:val="18"/>
              </w:rPr>
              <w:t xml:space="preserve">non-cliff</w:t>
            </w:r>
          </w:p>
        </w:tc>
        <w:tc>
          <w:tcPr>
            <w:tcW w:type="dxa" w:w="780"/>
            <w:tcBorders>
              <w:top w:val="single" w:color="000000" w:sz="10"/>
              <w:left w:val="none" w:color="FFFFFF" w:sz="0"/>
              <w:bottom w:val="single" w:color="000000" w:sz="4"/>
              <w:right w:val="none" w:color="FFFFFF" w:sz="0"/>
            </w:tcBorders>
            <w:tcMar>
              <w:top w:type="dxa" w:w="15"/>
              <w:left w:type="dxa" w:w="60"/>
              <w:bottom w:type="dxa" w:w="15"/>
              <w:right w:type="dxa" w:w="60"/>
            </w:tcMar>
            <w:vAlign w:val="center"/>
          </w:tcPr>
          <w:p>
            <w:pPr>
              <w:keepNext/>
              <w:spacing w:after="0" w:before="0" w:line="240" w:lineRule="exact"/>
              <w:jc w:val="center"/>
            </w:pPr>
            <w:r>
              <w:rPr>
                <w:rFonts w:ascii="함초롬돋움" w:cs="함초롬돋움" w:eastAsia="함초롬돋움" w:hAnsi="함초롬돋움"/>
                <w:sz w:val="18"/>
                <w:szCs w:val="18"/>
              </w:rPr>
              <w:t xml:space="preserve">전체</w:t>
            </w:r>
          </w:p>
        </w:tc>
      </w:tr>
      <w:tr>
        <w:trPr>
          <w:cantSplit/>
        </w:trPr>
        <w:tc>
          <w:tcPr>
            <w:tcW w:type="dxa" w:w="760"/>
            <w:tcBorders>
              <w:top w:val="none" w:color="FFFFFF" w:sz="0"/>
              <w:left w:val="none" w:color="FFFFFF" w:sz="0"/>
              <w:bottom w:val="none" w:color="FFFFFF" w:sz="0"/>
              <w:right w:val="none" w:color="FFFFFF" w:sz="0"/>
            </w:tcBorders>
            <w:tcMar>
              <w:top w:type="dxa" w:w="15"/>
              <w:left w:type="dxa" w:w="60"/>
              <w:bottom w:type="dxa" w:w="15"/>
              <w:right w:type="dxa" w:w="60"/>
            </w:tcMar>
            <w:vAlign w:val="center"/>
          </w:tcPr>
          <w:p>
            <w:pPr>
              <w:keepNext/>
              <w:spacing w:after="0" w:before="0" w:line="240" w:lineRule="exact"/>
              <w:jc w:val="left"/>
            </w:pPr>
            <w:r>
              <w:rPr>
                <w:rFonts w:ascii="함초롬돋움" w:cs="함초롬돋움" w:eastAsia="함초롬돋움" w:hAnsi="함초롬돋움"/>
                <w:sz w:val="18"/>
                <w:szCs w:val="18"/>
              </w:rPr>
              <w:t xml:space="preserve">분자별</w:t>
            </w:r>
          </w:p>
        </w:tc>
        <w:tc>
          <w:tcPr>
            <w:tcW w:type="dxa" w:w="1640"/>
            <w:tcBorders>
              <w:top w:val="none" w:color="FFFFFF" w:sz="0"/>
              <w:left w:val="none" w:color="FFFFFF" w:sz="0"/>
              <w:bottom w:val="none" w:color="FFFFFF" w:sz="0"/>
              <w:right w:val="none" w:color="FFFFFF" w:sz="0"/>
            </w:tcBorders>
            <w:tcMar>
              <w:top w:type="dxa" w:w="15"/>
              <w:left w:type="dxa" w:w="60"/>
              <w:bottom w:type="dxa" w:w="15"/>
              <w:right w:type="dxa" w:w="60"/>
            </w:tcMar>
            <w:vAlign w:val="center"/>
          </w:tcPr>
          <w:p>
            <w:pPr>
              <w:keepNext/>
              <w:spacing w:after="0" w:before="0" w:line="240" w:lineRule="exact"/>
              <w:jc w:val="left"/>
            </w:pPr>
            <w:r>
              <w:rPr>
                <w:rFonts w:ascii="함초롬돋움" w:cs="함초롬돋움" w:eastAsia="함초롬돋움" w:hAnsi="함초롬돋움"/>
                <w:sz w:val="18"/>
                <w:szCs w:val="18"/>
              </w:rPr>
              <w:t xml:space="preserve">ECFP + SVR</w:t>
            </w:r>
          </w:p>
        </w:tc>
        <w:tc>
          <w:tcPr>
            <w:tcW w:type="dxa" w:w="820"/>
            <w:tcBorders>
              <w:top w:val="none" w:color="FFFFFF" w:sz="0"/>
              <w:left w:val="none" w:color="FFFFFF" w:sz="0"/>
              <w:bottom w:val="none" w:color="FFFFFF" w:sz="0"/>
              <w:right w:val="none" w:color="FFFFFF" w:sz="0"/>
            </w:tcBorders>
            <w:tcMar>
              <w:top w:type="dxa" w:w="15"/>
              <w:left w:type="dxa" w:w="60"/>
              <w:bottom w:type="dxa" w:w="15"/>
              <w:right w:type="dxa" w:w="60"/>
            </w:tcMar>
            <w:vAlign w:val="center"/>
          </w:tcPr>
          <w:p>
            <w:pPr>
              <w:keepNext/>
              <w:spacing w:after="0" w:before="0" w:line="240" w:lineRule="exact"/>
              <w:jc w:val="center"/>
            </w:pPr>
            <w:r>
              <w:rPr>
                <w:rFonts w:ascii="함초롬돋움" w:cs="함초롬돋움" w:eastAsia="함초롬돋움" w:hAnsi="함초롬돋움"/>
                <w:b/>
                <w:bCs/>
                <w:sz w:val="18"/>
                <w:szCs w:val="18"/>
              </w:rPr>
              <w:t xml:space="preserve">0.914</w:t>
            </w:r>
          </w:p>
        </w:tc>
        <w:tc>
          <w:tcPr>
            <w:tcW w:type="dxa" w:w="1000"/>
            <w:tcBorders>
              <w:top w:val="none" w:color="FFFFFF" w:sz="0"/>
              <w:left w:val="none" w:color="FFFFFF" w:sz="0"/>
              <w:bottom w:val="none" w:color="FFFFFF" w:sz="0"/>
              <w:right w:val="none" w:color="FFFFFF" w:sz="0"/>
            </w:tcBorders>
            <w:tcMar>
              <w:top w:type="dxa" w:w="15"/>
              <w:left w:type="dxa" w:w="60"/>
              <w:bottom w:type="dxa" w:w="15"/>
              <w:right w:type="dxa" w:w="60"/>
            </w:tcMar>
            <w:vAlign w:val="center"/>
          </w:tcPr>
          <w:p>
            <w:pPr>
              <w:keepNext/>
              <w:spacing w:after="0" w:before="0" w:line="240" w:lineRule="exact"/>
              <w:jc w:val="center"/>
            </w:pPr>
            <w:r>
              <w:rPr>
                <w:rFonts w:ascii="함초롬돋움" w:cs="함초롬돋움" w:eastAsia="함초롬돋움" w:hAnsi="함초롬돋움"/>
                <w:b/>
                <w:bCs/>
                <w:sz w:val="18"/>
                <w:szCs w:val="18"/>
              </w:rPr>
              <w:t xml:space="preserve">0.455</w:t>
            </w:r>
          </w:p>
        </w:tc>
        <w:tc>
          <w:tcPr>
            <w:tcW w:type="dxa" w:w="780"/>
            <w:tcBorders>
              <w:top w:val="none" w:color="FFFFFF" w:sz="0"/>
              <w:left w:val="none" w:color="FFFFFF" w:sz="0"/>
              <w:bottom w:val="none" w:color="FFFFFF" w:sz="0"/>
              <w:right w:val="none" w:color="FFFFFF" w:sz="0"/>
            </w:tcBorders>
            <w:tcMar>
              <w:top w:type="dxa" w:w="15"/>
              <w:left w:type="dxa" w:w="60"/>
              <w:bottom w:type="dxa" w:w="15"/>
              <w:right w:type="dxa" w:w="60"/>
            </w:tcMar>
            <w:vAlign w:val="center"/>
          </w:tcPr>
          <w:p>
            <w:pPr>
              <w:keepNext/>
              <w:spacing w:after="0" w:before="0" w:line="240" w:lineRule="exact"/>
              <w:jc w:val="center"/>
            </w:pPr>
            <w:r>
              <w:rPr>
                <w:rFonts w:ascii="함초롬돋움" w:cs="함초롬돋움" w:eastAsia="함초롬돋움" w:hAnsi="함초롬돋움"/>
                <w:b/>
                <w:bCs/>
                <w:sz w:val="18"/>
                <w:szCs w:val="18"/>
              </w:rPr>
              <w:t xml:space="preserve">0.591</w:t>
            </w:r>
          </w:p>
        </w:tc>
      </w:tr>
      <w:tr>
        <w:trPr>
          <w:cantSplit/>
        </w:trPr>
        <w:tc>
          <w:tcPr>
            <w:tcW w:type="dxa" w:w="760"/>
            <w:tcBorders>
              <w:top w:val="none" w:color="FFFFFF" w:sz="0"/>
              <w:left w:val="none" w:color="FFFFFF" w:sz="0"/>
              <w:bottom w:val="none" w:color="FFFFFF" w:sz="0"/>
              <w:right w:val="none" w:color="FFFFFF" w:sz="0"/>
            </w:tcBorders>
            <w:tcMar>
              <w:top w:type="dxa" w:w="15"/>
              <w:left w:type="dxa" w:w="60"/>
              <w:bottom w:type="dxa" w:w="15"/>
              <w:right w:type="dxa" w:w="60"/>
            </w:tcMar>
            <w:vAlign w:val="center"/>
          </w:tcPr>
          <w:p>
            <w:pPr>
              <w:keepNext/>
              <w:spacing w:after="0" w:before="0" w:line="240" w:lineRule="exact"/>
              <w:jc w:val="left"/>
            </w:pPr>
            <w:r>
              <w:rPr>
                <w:rFonts w:ascii="함초롬돋움" w:cs="함초롬돋움" w:eastAsia="함초롬돋움" w:hAnsi="함초롬돋움"/>
                <w:sz w:val="18"/>
                <w:szCs w:val="18"/>
              </w:rPr>
              <w:t xml:space="preserve">분자별</w:t>
            </w:r>
          </w:p>
        </w:tc>
        <w:tc>
          <w:tcPr>
            <w:tcW w:type="dxa" w:w="1640"/>
            <w:tcBorders>
              <w:top w:val="none" w:color="FFFFFF" w:sz="0"/>
              <w:left w:val="none" w:color="FFFFFF" w:sz="0"/>
              <w:bottom w:val="none" w:color="FFFFFF" w:sz="0"/>
              <w:right w:val="none" w:color="FFFFFF" w:sz="0"/>
            </w:tcBorders>
            <w:tcMar>
              <w:top w:type="dxa" w:w="15"/>
              <w:left w:type="dxa" w:w="60"/>
              <w:bottom w:type="dxa" w:w="15"/>
              <w:right w:type="dxa" w:w="60"/>
            </w:tcMar>
            <w:vAlign w:val="center"/>
          </w:tcPr>
          <w:p>
            <w:pPr>
              <w:keepNext/>
              <w:spacing w:after="0" w:before="0" w:line="240" w:lineRule="exact"/>
              <w:jc w:val="left"/>
            </w:pPr>
            <w:r>
              <w:rPr>
                <w:rFonts w:ascii="함초롬돋움" w:cs="함초롬돋움" w:eastAsia="함초롬돋움" w:hAnsi="함초롬돋움"/>
                <w:sz w:val="18"/>
                <w:szCs w:val="18"/>
              </w:rPr>
              <w:t xml:space="preserve">GINE</w:t>
            </w:r>
          </w:p>
        </w:tc>
        <w:tc>
          <w:tcPr>
            <w:tcW w:type="dxa" w:w="820"/>
            <w:tcBorders>
              <w:top w:val="none" w:color="FFFFFF" w:sz="0"/>
              <w:left w:val="none" w:color="FFFFFF" w:sz="0"/>
              <w:bottom w:val="none" w:color="FFFFFF" w:sz="0"/>
              <w:right w:val="none" w:color="FFFFFF" w:sz="0"/>
            </w:tcBorders>
            <w:tcMar>
              <w:top w:type="dxa" w:w="15"/>
              <w:left w:type="dxa" w:w="60"/>
              <w:bottom w:type="dxa" w:w="15"/>
              <w:right w:type="dxa" w:w="60"/>
            </w:tcMar>
            <w:vAlign w:val="center"/>
          </w:tcPr>
          <w:p>
            <w:pPr>
              <w:keepNext/>
              <w:spacing w:after="0" w:before="0" w:line="240" w:lineRule="exact"/>
              <w:jc w:val="center"/>
            </w:pPr>
            <w:r>
              <w:rPr>
                <w:rFonts w:ascii="함초롬돋움" w:cs="함초롬돋움" w:eastAsia="함초롬돋움" w:hAnsi="함초롬돋움"/>
                <w:sz w:val="18"/>
                <w:szCs w:val="18"/>
              </w:rPr>
              <w:t xml:space="preserve">1.157</w:t>
            </w:r>
          </w:p>
        </w:tc>
        <w:tc>
          <w:tcPr>
            <w:tcW w:type="dxa" w:w="1000"/>
            <w:tcBorders>
              <w:top w:val="none" w:color="FFFFFF" w:sz="0"/>
              <w:left w:val="none" w:color="FFFFFF" w:sz="0"/>
              <w:bottom w:val="none" w:color="FFFFFF" w:sz="0"/>
              <w:right w:val="none" w:color="FFFFFF" w:sz="0"/>
            </w:tcBorders>
            <w:tcMar>
              <w:top w:type="dxa" w:w="15"/>
              <w:left w:type="dxa" w:w="60"/>
              <w:bottom w:type="dxa" w:w="15"/>
              <w:right w:type="dxa" w:w="60"/>
            </w:tcMar>
            <w:vAlign w:val="center"/>
          </w:tcPr>
          <w:p>
            <w:pPr>
              <w:keepNext/>
              <w:spacing w:after="0" w:before="0" w:line="240" w:lineRule="exact"/>
              <w:jc w:val="center"/>
            </w:pPr>
            <w:r>
              <w:rPr>
                <w:rFonts w:ascii="함초롬돋움" w:cs="함초롬돋움" w:eastAsia="함초롬돋움" w:hAnsi="함초롬돋움"/>
                <w:sz w:val="18"/>
                <w:szCs w:val="18"/>
              </w:rPr>
              <w:t xml:space="preserve">0.514</w:t>
            </w:r>
          </w:p>
        </w:tc>
        <w:tc>
          <w:tcPr>
            <w:tcW w:type="dxa" w:w="780"/>
            <w:tcBorders>
              <w:top w:val="none" w:color="FFFFFF" w:sz="0"/>
              <w:left w:val="none" w:color="FFFFFF" w:sz="0"/>
              <w:bottom w:val="none" w:color="FFFFFF" w:sz="0"/>
              <w:right w:val="none" w:color="FFFFFF" w:sz="0"/>
            </w:tcBorders>
            <w:tcMar>
              <w:top w:type="dxa" w:w="15"/>
              <w:left w:type="dxa" w:w="60"/>
              <w:bottom w:type="dxa" w:w="15"/>
              <w:right w:type="dxa" w:w="60"/>
            </w:tcMar>
            <w:vAlign w:val="center"/>
          </w:tcPr>
          <w:p>
            <w:pPr>
              <w:keepNext/>
              <w:spacing w:after="0" w:before="0" w:line="240" w:lineRule="exact"/>
              <w:jc w:val="center"/>
            </w:pPr>
            <w:r>
              <w:rPr>
                <w:rFonts w:ascii="함초롬돋움" w:cs="함초롬돋움" w:eastAsia="함초롬돋움" w:hAnsi="함초롬돋움"/>
                <w:sz w:val="18"/>
                <w:szCs w:val="18"/>
              </w:rPr>
              <w:t xml:space="preserve">0.713</w:t>
            </w:r>
          </w:p>
        </w:tc>
      </w:tr>
      <w:tr>
        <w:trPr>
          <w:cantSplit/>
        </w:trPr>
        <w:tc>
          <w:tcPr>
            <w:tcW w:type="dxa" w:w="760"/>
            <w:tcBorders>
              <w:top w:val="none" w:color="FFFFFF" w:sz="0"/>
              <w:left w:val="none" w:color="FFFFFF" w:sz="0"/>
              <w:bottom w:val="single" w:color="000000" w:sz="2"/>
              <w:right w:val="none" w:color="FFFFFF" w:sz="0"/>
            </w:tcBorders>
            <w:tcMar>
              <w:top w:type="dxa" w:w="15"/>
              <w:left w:type="dxa" w:w="60"/>
              <w:bottom w:type="dxa" w:w="15"/>
              <w:right w:type="dxa" w:w="60"/>
            </w:tcMar>
            <w:vAlign w:val="center"/>
          </w:tcPr>
          <w:p>
            <w:pPr>
              <w:keepNext/>
              <w:spacing w:after="0" w:before="0" w:line="240" w:lineRule="exact"/>
              <w:jc w:val="left"/>
            </w:pPr>
            <w:r>
              <w:rPr>
                <w:rFonts w:ascii="함초롬돋움" w:cs="함초롬돋움" w:eastAsia="함초롬돋움" w:hAnsi="함초롬돋움"/>
                <w:sz w:val="18"/>
                <w:szCs w:val="18"/>
              </w:rPr>
              <w:t xml:space="preserve">분자별</w:t>
            </w:r>
          </w:p>
        </w:tc>
        <w:tc>
          <w:tcPr>
            <w:tcW w:type="dxa" w:w="1640"/>
            <w:tcBorders>
              <w:top w:val="none" w:color="FFFFFF" w:sz="0"/>
              <w:left w:val="none" w:color="FFFFFF" w:sz="0"/>
              <w:bottom w:val="single" w:color="000000" w:sz="2"/>
              <w:right w:val="none" w:color="FFFFFF" w:sz="0"/>
            </w:tcBorders>
            <w:tcMar>
              <w:top w:type="dxa" w:w="15"/>
              <w:left w:type="dxa" w:w="60"/>
              <w:bottom w:type="dxa" w:w="15"/>
              <w:right w:type="dxa" w:w="60"/>
            </w:tcMar>
            <w:vAlign w:val="center"/>
          </w:tcPr>
          <w:p>
            <w:pPr>
              <w:keepNext/>
              <w:spacing w:after="0" w:before="0" w:line="240" w:lineRule="exact"/>
              <w:jc w:val="left"/>
            </w:pPr>
            <w:r>
              <w:rPr>
                <w:rFonts w:ascii="함초롬돋움" w:cs="함초롬돋움" w:eastAsia="함초롬돋움" w:hAnsi="함초롬돋움"/>
                <w:sz w:val="18"/>
                <w:szCs w:val="18"/>
              </w:rPr>
              <w:t xml:space="preserve">Mole-BERT</w:t>
            </w:r>
          </w:p>
        </w:tc>
        <w:tc>
          <w:tcPr>
            <w:tcW w:type="dxa" w:w="820"/>
            <w:tcBorders>
              <w:top w:val="none" w:color="FFFFFF" w:sz="0"/>
              <w:left w:val="none" w:color="FFFFFF" w:sz="0"/>
              <w:bottom w:val="single" w:color="000000" w:sz="2"/>
              <w:right w:val="none" w:color="FFFFFF" w:sz="0"/>
            </w:tcBorders>
            <w:tcMar>
              <w:top w:type="dxa" w:w="15"/>
              <w:left w:type="dxa" w:w="60"/>
              <w:bottom w:type="dxa" w:w="15"/>
              <w:right w:type="dxa" w:w="60"/>
            </w:tcMar>
            <w:vAlign w:val="center"/>
          </w:tcPr>
          <w:p>
            <w:pPr>
              <w:keepNext/>
              <w:spacing w:after="0" w:before="0" w:line="240" w:lineRule="exact"/>
              <w:jc w:val="center"/>
            </w:pPr>
            <w:r>
              <w:rPr>
                <w:rFonts w:ascii="함초롬돋움" w:cs="함초롬돋움" w:eastAsia="함초롬돋움" w:hAnsi="함초롬돋움"/>
                <w:sz w:val="18"/>
                <w:szCs w:val="18"/>
              </w:rPr>
              <w:t xml:space="preserve">1.158</w:t>
            </w:r>
          </w:p>
        </w:tc>
        <w:tc>
          <w:tcPr>
            <w:tcW w:type="dxa" w:w="1000"/>
            <w:tcBorders>
              <w:top w:val="none" w:color="FFFFFF" w:sz="0"/>
              <w:left w:val="none" w:color="FFFFFF" w:sz="0"/>
              <w:bottom w:val="single" w:color="000000" w:sz="2"/>
              <w:right w:val="none" w:color="FFFFFF" w:sz="0"/>
            </w:tcBorders>
            <w:tcMar>
              <w:top w:type="dxa" w:w="15"/>
              <w:left w:type="dxa" w:w="60"/>
              <w:bottom w:type="dxa" w:w="15"/>
              <w:right w:type="dxa" w:w="60"/>
            </w:tcMar>
            <w:vAlign w:val="center"/>
          </w:tcPr>
          <w:p>
            <w:pPr>
              <w:keepNext/>
              <w:spacing w:after="0" w:before="0" w:line="240" w:lineRule="exact"/>
              <w:jc w:val="center"/>
            </w:pPr>
            <w:r>
              <w:rPr>
                <w:rFonts w:ascii="함초롬돋움" w:cs="함초롬돋움" w:eastAsia="함초롬돋움" w:hAnsi="함초롬돋움"/>
                <w:sz w:val="18"/>
                <w:szCs w:val="18"/>
              </w:rPr>
              <w:t xml:space="preserve">0.549</w:t>
            </w:r>
          </w:p>
        </w:tc>
        <w:tc>
          <w:tcPr>
            <w:tcW w:type="dxa" w:w="780"/>
            <w:tcBorders>
              <w:top w:val="none" w:color="FFFFFF" w:sz="0"/>
              <w:left w:val="none" w:color="FFFFFF" w:sz="0"/>
              <w:bottom w:val="single" w:color="000000" w:sz="2"/>
              <w:right w:val="none" w:color="FFFFFF" w:sz="0"/>
            </w:tcBorders>
            <w:tcMar>
              <w:top w:type="dxa" w:w="15"/>
              <w:left w:type="dxa" w:w="60"/>
              <w:bottom w:type="dxa" w:w="15"/>
              <w:right w:type="dxa" w:w="60"/>
            </w:tcMar>
            <w:vAlign w:val="center"/>
          </w:tcPr>
          <w:p>
            <w:pPr>
              <w:keepNext/>
              <w:spacing w:after="0" w:before="0" w:line="240" w:lineRule="exact"/>
              <w:jc w:val="center"/>
            </w:pPr>
            <w:r>
              <w:rPr>
                <w:rFonts w:ascii="함초롬돋움" w:cs="함초롬돋움" w:eastAsia="함초롬돋움" w:hAnsi="함초롬돋움"/>
                <w:sz w:val="18"/>
                <w:szCs w:val="18"/>
              </w:rPr>
              <w:t xml:space="preserve">0.733</w:t>
            </w:r>
          </w:p>
        </w:tc>
      </w:tr>
      <w:tr>
        <w:trPr>
          <w:cantSplit/>
        </w:trPr>
        <w:tc>
          <w:tcPr>
            <w:tcW w:type="dxa" w:w="760"/>
            <w:tcBorders>
              <w:top w:val="none" w:color="FFFFFF" w:sz="0"/>
              <w:left w:val="none" w:color="FFFFFF" w:sz="0"/>
              <w:bottom w:val="none" w:color="FFFFFF" w:sz="0"/>
              <w:right w:val="none" w:color="FFFFFF" w:sz="0"/>
            </w:tcBorders>
            <w:tcMar>
              <w:top w:type="dxa" w:w="15"/>
              <w:left w:type="dxa" w:w="60"/>
              <w:bottom w:type="dxa" w:w="15"/>
              <w:right w:type="dxa" w:w="60"/>
            </w:tcMar>
            <w:vAlign w:val="center"/>
          </w:tcPr>
          <w:p>
            <w:pPr>
              <w:keepNext/>
              <w:spacing w:after="0" w:before="0" w:line="240" w:lineRule="exact"/>
              <w:jc w:val="left"/>
            </w:pPr>
            <w:r>
              <w:rPr>
                <w:rFonts w:ascii="함초롬돋움" w:cs="함초롬돋움" w:eastAsia="함초롬돋움" w:hAnsi="함초롬돋움"/>
                <w:sz w:val="18"/>
                <w:szCs w:val="18"/>
              </w:rPr>
              <w:t xml:space="preserve">쌍</w:t>
            </w:r>
          </w:p>
        </w:tc>
        <w:tc>
          <w:tcPr>
            <w:tcW w:type="dxa" w:w="1640"/>
            <w:tcBorders>
              <w:top w:val="none" w:color="FFFFFF" w:sz="0"/>
              <w:left w:val="none" w:color="FFFFFF" w:sz="0"/>
              <w:bottom w:val="none" w:color="FFFFFF" w:sz="0"/>
              <w:right w:val="none" w:color="FFFFFF" w:sz="0"/>
            </w:tcBorders>
            <w:tcMar>
              <w:top w:type="dxa" w:w="15"/>
              <w:left w:type="dxa" w:w="60"/>
              <w:bottom w:type="dxa" w:w="15"/>
              <w:right w:type="dxa" w:w="60"/>
            </w:tcMar>
            <w:vAlign w:val="center"/>
          </w:tcPr>
          <w:p>
            <w:pPr>
              <w:keepNext/>
              <w:spacing w:after="0" w:before="0" w:line="240" w:lineRule="exact"/>
              <w:jc w:val="left"/>
            </w:pPr>
            <w:r>
              <w:rPr>
                <w:rFonts w:ascii="함초롬돋움" w:cs="함초롬돋움" w:eastAsia="함초롬돋움" w:hAnsi="함초롬돋움"/>
                <w:sz w:val="18"/>
                <w:szCs w:val="18"/>
              </w:rPr>
              <w:t xml:space="preserve">ECFP + MLP</w:t>
            </w:r>
          </w:p>
        </w:tc>
        <w:tc>
          <w:tcPr>
            <w:tcW w:type="dxa" w:w="820"/>
            <w:tcBorders>
              <w:top w:val="none" w:color="FFFFFF" w:sz="0"/>
              <w:left w:val="none" w:color="FFFFFF" w:sz="0"/>
              <w:bottom w:val="none" w:color="FFFFFF" w:sz="0"/>
              <w:right w:val="none" w:color="FFFFFF" w:sz="0"/>
            </w:tcBorders>
            <w:tcMar>
              <w:top w:type="dxa" w:w="15"/>
              <w:left w:type="dxa" w:w="60"/>
              <w:bottom w:type="dxa" w:w="15"/>
              <w:right w:type="dxa" w:w="60"/>
            </w:tcMar>
            <w:vAlign w:val="center"/>
          </w:tcPr>
          <w:p>
            <w:pPr>
              <w:keepNext/>
              <w:spacing w:after="0" w:before="0" w:line="240" w:lineRule="exact"/>
              <w:jc w:val="center"/>
            </w:pPr>
            <w:r>
              <w:rPr>
                <w:rFonts w:ascii="함초롬돋움" w:cs="함초롬돋움" w:eastAsia="함초롬돋움" w:hAnsi="함초롬돋움"/>
                <w:sz w:val="18"/>
                <w:szCs w:val="18"/>
              </w:rPr>
              <w:t xml:space="preserve">0.898</w:t>
            </w:r>
          </w:p>
        </w:tc>
        <w:tc>
          <w:tcPr>
            <w:tcW w:type="dxa" w:w="1000"/>
            <w:tcBorders>
              <w:top w:val="none" w:color="FFFFFF" w:sz="0"/>
              <w:left w:val="none" w:color="FFFFFF" w:sz="0"/>
              <w:bottom w:val="none" w:color="FFFFFF" w:sz="0"/>
              <w:right w:val="none" w:color="FFFFFF" w:sz="0"/>
            </w:tcBorders>
            <w:tcMar>
              <w:top w:type="dxa" w:w="15"/>
              <w:left w:type="dxa" w:w="60"/>
              <w:bottom w:type="dxa" w:w="15"/>
              <w:right w:type="dxa" w:w="60"/>
            </w:tcMar>
            <w:vAlign w:val="center"/>
          </w:tcPr>
          <w:p>
            <w:pPr>
              <w:keepNext/>
              <w:spacing w:after="0" w:before="0" w:line="240" w:lineRule="exact"/>
              <w:jc w:val="center"/>
            </w:pPr>
            <w:r>
              <w:rPr>
                <w:rFonts w:ascii="함초롬돋움" w:cs="함초롬돋움" w:eastAsia="함초롬돋움" w:hAnsi="함초롬돋움"/>
                <w:sz w:val="18"/>
                <w:szCs w:val="18"/>
              </w:rPr>
              <w:t xml:space="preserve">0.514</w:t>
            </w:r>
          </w:p>
        </w:tc>
        <w:tc>
          <w:tcPr>
            <w:tcW w:type="dxa" w:w="780"/>
            <w:tcBorders>
              <w:top w:val="none" w:color="FFFFFF" w:sz="0"/>
              <w:left w:val="none" w:color="FFFFFF" w:sz="0"/>
              <w:bottom w:val="none" w:color="FFFFFF" w:sz="0"/>
              <w:right w:val="none" w:color="FFFFFF" w:sz="0"/>
            </w:tcBorders>
            <w:tcMar>
              <w:top w:type="dxa" w:w="15"/>
              <w:left w:type="dxa" w:w="60"/>
              <w:bottom w:type="dxa" w:w="15"/>
              <w:right w:type="dxa" w:w="60"/>
            </w:tcMar>
            <w:vAlign w:val="center"/>
          </w:tcPr>
          <w:p>
            <w:pPr>
              <w:keepNext/>
              <w:spacing w:after="0" w:before="0" w:line="240" w:lineRule="exact"/>
              <w:jc w:val="center"/>
            </w:pPr>
            <w:r>
              <w:rPr>
                <w:rFonts w:ascii="함초롬돋움" w:cs="함초롬돋움" w:eastAsia="함초롬돋움" w:hAnsi="함초롬돋움"/>
                <w:sz w:val="18"/>
                <w:szCs w:val="18"/>
              </w:rPr>
              <w:t xml:space="preserve">0.622</w:t>
            </w:r>
          </w:p>
        </w:tc>
      </w:tr>
      <w:tr>
        <w:trPr>
          <w:cantSplit/>
        </w:trPr>
        <w:tc>
          <w:tcPr>
            <w:tcW w:type="dxa" w:w="760"/>
            <w:tcBorders>
              <w:top w:val="none" w:color="FFFFFF" w:sz="0"/>
              <w:left w:val="none" w:color="FFFFFF" w:sz="0"/>
              <w:bottom w:val="none" w:color="FFFFFF" w:sz="0"/>
              <w:right w:val="none" w:color="FFFFFF" w:sz="0"/>
            </w:tcBorders>
            <w:tcMar>
              <w:top w:type="dxa" w:w="15"/>
              <w:left w:type="dxa" w:w="60"/>
              <w:bottom w:type="dxa" w:w="15"/>
              <w:right w:type="dxa" w:w="60"/>
            </w:tcMar>
            <w:vAlign w:val="center"/>
          </w:tcPr>
          <w:p>
            <w:pPr>
              <w:keepNext/>
              <w:spacing w:after="0" w:before="0" w:line="240" w:lineRule="exact"/>
              <w:jc w:val="left"/>
            </w:pPr>
            <w:r>
              <w:rPr>
                <w:rFonts w:ascii="함초롬돋움" w:cs="함초롬돋움" w:eastAsia="함초롬돋움" w:hAnsi="함초롬돋움"/>
                <w:sz w:val="18"/>
                <w:szCs w:val="18"/>
              </w:rPr>
              <w:t xml:space="preserve">쌍</w:t>
            </w:r>
          </w:p>
        </w:tc>
        <w:tc>
          <w:tcPr>
            <w:tcW w:type="dxa" w:w="1640"/>
            <w:tcBorders>
              <w:top w:val="none" w:color="FFFFFF" w:sz="0"/>
              <w:left w:val="none" w:color="FFFFFF" w:sz="0"/>
              <w:bottom w:val="none" w:color="FFFFFF" w:sz="0"/>
              <w:right w:val="none" w:color="FFFFFF" w:sz="0"/>
            </w:tcBorders>
            <w:tcMar>
              <w:top w:type="dxa" w:w="15"/>
              <w:left w:type="dxa" w:w="60"/>
              <w:bottom w:type="dxa" w:w="15"/>
              <w:right w:type="dxa" w:w="60"/>
            </w:tcMar>
            <w:vAlign w:val="center"/>
          </w:tcPr>
          <w:p>
            <w:pPr>
              <w:keepNext/>
              <w:spacing w:after="0" w:before="0" w:line="240" w:lineRule="exact"/>
              <w:jc w:val="left"/>
            </w:pPr>
            <w:r>
              <w:rPr>
                <w:rFonts w:ascii="함초롬돋움" w:cs="함초롬돋움" w:eastAsia="함초롬돋움" w:hAnsi="함초롬돋움"/>
                <w:sz w:val="18"/>
                <w:szCs w:val="18"/>
              </w:rPr>
              <w:t xml:space="preserve">GINE</w:t>
            </w:r>
          </w:p>
        </w:tc>
        <w:tc>
          <w:tcPr>
            <w:tcW w:type="dxa" w:w="820"/>
            <w:tcBorders>
              <w:top w:val="none" w:color="FFFFFF" w:sz="0"/>
              <w:left w:val="none" w:color="FFFFFF" w:sz="0"/>
              <w:bottom w:val="none" w:color="FFFFFF" w:sz="0"/>
              <w:right w:val="none" w:color="FFFFFF" w:sz="0"/>
            </w:tcBorders>
            <w:tcMar>
              <w:top w:type="dxa" w:w="15"/>
              <w:left w:type="dxa" w:w="60"/>
              <w:bottom w:type="dxa" w:w="15"/>
              <w:right w:type="dxa" w:w="60"/>
            </w:tcMar>
            <w:vAlign w:val="center"/>
          </w:tcPr>
          <w:p>
            <w:pPr>
              <w:keepNext/>
              <w:spacing w:after="0" w:before="0" w:line="240" w:lineRule="exact"/>
              <w:jc w:val="center"/>
            </w:pPr>
            <w:r>
              <w:rPr>
                <w:rFonts w:ascii="함초롬돋움" w:cs="함초롬돋움" w:eastAsia="함초롬돋움" w:hAnsi="함초롬돋움"/>
                <w:sz w:val="18"/>
                <w:szCs w:val="18"/>
              </w:rPr>
              <w:t xml:space="preserve">0.914</w:t>
            </w:r>
          </w:p>
        </w:tc>
        <w:tc>
          <w:tcPr>
            <w:tcW w:type="dxa" w:w="1000"/>
            <w:tcBorders>
              <w:top w:val="none" w:color="FFFFFF" w:sz="0"/>
              <w:left w:val="none" w:color="FFFFFF" w:sz="0"/>
              <w:bottom w:val="none" w:color="FFFFFF" w:sz="0"/>
              <w:right w:val="none" w:color="FFFFFF" w:sz="0"/>
            </w:tcBorders>
            <w:tcMar>
              <w:top w:type="dxa" w:w="15"/>
              <w:left w:type="dxa" w:w="60"/>
              <w:bottom w:type="dxa" w:w="15"/>
              <w:right w:type="dxa" w:w="60"/>
            </w:tcMar>
            <w:vAlign w:val="center"/>
          </w:tcPr>
          <w:p>
            <w:pPr>
              <w:keepNext/>
              <w:spacing w:after="0" w:before="0" w:line="240" w:lineRule="exact"/>
              <w:jc w:val="center"/>
            </w:pPr>
            <w:r>
              <w:rPr>
                <w:rFonts w:ascii="함초롬돋움" w:cs="함초롬돋움" w:eastAsia="함초롬돋움" w:hAnsi="함초롬돋움"/>
                <w:b/>
                <w:bCs/>
                <w:sz w:val="18"/>
                <w:szCs w:val="18"/>
              </w:rPr>
              <w:t xml:space="preserve">0.469</w:t>
            </w:r>
          </w:p>
        </w:tc>
        <w:tc>
          <w:tcPr>
            <w:tcW w:type="dxa" w:w="780"/>
            <w:tcBorders>
              <w:top w:val="none" w:color="FFFFFF" w:sz="0"/>
              <w:left w:val="none" w:color="FFFFFF" w:sz="0"/>
              <w:bottom w:val="none" w:color="FFFFFF" w:sz="0"/>
              <w:right w:val="none" w:color="FFFFFF" w:sz="0"/>
            </w:tcBorders>
            <w:tcMar>
              <w:top w:type="dxa" w:w="15"/>
              <w:left w:type="dxa" w:w="60"/>
              <w:bottom w:type="dxa" w:w="15"/>
              <w:right w:type="dxa" w:w="60"/>
            </w:tcMar>
            <w:vAlign w:val="center"/>
          </w:tcPr>
          <w:p>
            <w:pPr>
              <w:keepNext/>
              <w:spacing w:after="0" w:before="0" w:line="240" w:lineRule="exact"/>
              <w:jc w:val="center"/>
            </w:pPr>
            <w:r>
              <w:rPr>
                <w:rFonts w:ascii="함초롬돋움" w:cs="함초롬돋움" w:eastAsia="함초롬돋움" w:hAnsi="함초롬돋움"/>
                <w:sz w:val="18"/>
                <w:szCs w:val="18"/>
              </w:rPr>
              <w:t xml:space="preserve">0.600</w:t>
            </w:r>
          </w:p>
        </w:tc>
      </w:tr>
      <w:tr>
        <w:trPr>
          <w:cantSplit/>
        </w:trPr>
        <w:tc>
          <w:tcPr>
            <w:tcW w:type="dxa" w:w="760"/>
            <w:tcBorders>
              <w:top w:val="none" w:color="FFFFFF" w:sz="0"/>
              <w:left w:val="none" w:color="FFFFFF" w:sz="0"/>
              <w:bottom w:val="single" w:color="000000" w:sz="10"/>
              <w:right w:val="none" w:color="FFFFFF" w:sz="0"/>
            </w:tcBorders>
            <w:tcMar>
              <w:top w:type="dxa" w:w="15"/>
              <w:left w:type="dxa" w:w="60"/>
              <w:bottom w:type="dxa" w:w="15"/>
              <w:right w:type="dxa" w:w="60"/>
            </w:tcMar>
            <w:vAlign w:val="center"/>
          </w:tcPr>
          <w:p>
            <w:pPr>
              <w:keepNext w:val="false"/>
              <w:spacing w:after="0" w:before="0" w:line="240" w:lineRule="exact"/>
              <w:jc w:val="left"/>
            </w:pPr>
            <w:r>
              <w:rPr>
                <w:rFonts w:ascii="함초롬돋움" w:cs="함초롬돋움" w:eastAsia="함초롬돋움" w:hAnsi="함초롬돋움"/>
                <w:sz w:val="18"/>
                <w:szCs w:val="18"/>
              </w:rPr>
              <w:t xml:space="preserve">쌍</w:t>
            </w:r>
          </w:p>
        </w:tc>
        <w:tc>
          <w:tcPr>
            <w:tcW w:type="dxa" w:w="1640"/>
            <w:tcBorders>
              <w:top w:val="none" w:color="FFFFFF" w:sz="0"/>
              <w:left w:val="none" w:color="FFFFFF" w:sz="0"/>
              <w:bottom w:val="single" w:color="000000" w:sz="10"/>
              <w:right w:val="none" w:color="FFFFFF" w:sz="0"/>
            </w:tcBorders>
            <w:tcMar>
              <w:top w:type="dxa" w:w="15"/>
              <w:left w:type="dxa" w:w="60"/>
              <w:bottom w:type="dxa" w:w="15"/>
              <w:right w:type="dxa" w:w="60"/>
            </w:tcMar>
            <w:vAlign w:val="center"/>
          </w:tcPr>
          <w:p>
            <w:pPr>
              <w:keepNext w:val="false"/>
              <w:spacing w:after="0" w:before="0" w:line="240" w:lineRule="exact"/>
              <w:jc w:val="left"/>
            </w:pPr>
            <w:r>
              <w:rPr>
                <w:rFonts w:ascii="함초롬돋움" w:cs="함초롬돋움" w:eastAsia="함초롬돋움" w:hAnsi="함초롬돋움"/>
                <w:sz w:val="18"/>
                <w:szCs w:val="18"/>
              </w:rPr>
              <w:t xml:space="preserve">Mole-BERT</w:t>
            </w:r>
          </w:p>
        </w:tc>
        <w:tc>
          <w:tcPr>
            <w:tcW w:type="dxa" w:w="820"/>
            <w:tcBorders>
              <w:top w:val="none" w:color="FFFFFF" w:sz="0"/>
              <w:left w:val="none" w:color="FFFFFF" w:sz="0"/>
              <w:bottom w:val="single" w:color="000000" w:sz="10"/>
              <w:right w:val="none" w:color="FFFFFF" w:sz="0"/>
            </w:tcBorders>
            <w:tcMar>
              <w:top w:type="dxa" w:w="15"/>
              <w:left w:type="dxa" w:w="60"/>
              <w:bottom w:type="dxa" w:w="15"/>
              <w:right w:type="dxa" w:w="60"/>
            </w:tcMar>
            <w:vAlign w:val="center"/>
          </w:tcPr>
          <w:p>
            <w:pPr>
              <w:keepNext w:val="false"/>
              <w:spacing w:after="0" w:before="0" w:line="240" w:lineRule="exact"/>
              <w:jc w:val="center"/>
            </w:pPr>
            <w:r>
              <w:rPr>
                <w:rFonts w:ascii="함초롬돋움" w:cs="함초롬돋움" w:eastAsia="함초롬돋움" w:hAnsi="함초롬돋움"/>
                <w:b/>
                <w:bCs/>
                <w:sz w:val="18"/>
                <w:szCs w:val="18"/>
              </w:rPr>
              <w:t xml:space="preserve">0.889</w:t>
            </w:r>
          </w:p>
        </w:tc>
        <w:tc>
          <w:tcPr>
            <w:tcW w:type="dxa" w:w="1000"/>
            <w:tcBorders>
              <w:top w:val="none" w:color="FFFFFF" w:sz="0"/>
              <w:left w:val="none" w:color="FFFFFF" w:sz="0"/>
              <w:bottom w:val="single" w:color="000000" w:sz="10"/>
              <w:right w:val="none" w:color="FFFFFF" w:sz="0"/>
            </w:tcBorders>
            <w:tcMar>
              <w:top w:type="dxa" w:w="15"/>
              <w:left w:type="dxa" w:w="60"/>
              <w:bottom w:type="dxa" w:w="15"/>
              <w:right w:type="dxa" w:w="60"/>
            </w:tcMar>
            <w:vAlign w:val="center"/>
          </w:tcPr>
          <w:p>
            <w:pPr>
              <w:keepNext w:val="false"/>
              <w:spacing w:after="0" w:before="0" w:line="240" w:lineRule="exact"/>
              <w:jc w:val="center"/>
            </w:pPr>
            <w:r>
              <w:rPr>
                <w:rFonts w:ascii="함초롬돋움" w:cs="함초롬돋움" w:eastAsia="함초롬돋움" w:hAnsi="함초롬돋움"/>
                <w:sz w:val="18"/>
                <w:szCs w:val="18"/>
              </w:rPr>
              <w:t xml:space="preserve">0.471</w:t>
            </w:r>
          </w:p>
        </w:tc>
        <w:tc>
          <w:tcPr>
            <w:tcW w:type="dxa" w:w="780"/>
            <w:tcBorders>
              <w:top w:val="none" w:color="FFFFFF" w:sz="0"/>
              <w:left w:val="none" w:color="FFFFFF" w:sz="0"/>
              <w:bottom w:val="single" w:color="000000" w:sz="10"/>
              <w:right w:val="none" w:color="FFFFFF" w:sz="0"/>
            </w:tcBorders>
            <w:tcMar>
              <w:top w:type="dxa" w:w="15"/>
              <w:left w:type="dxa" w:w="60"/>
              <w:bottom w:type="dxa" w:w="15"/>
              <w:right w:type="dxa" w:w="60"/>
            </w:tcMar>
            <w:vAlign w:val="center"/>
          </w:tcPr>
          <w:p>
            <w:pPr>
              <w:keepNext w:val="false"/>
              <w:spacing w:after="0" w:before="0" w:line="240" w:lineRule="exact"/>
              <w:jc w:val="center"/>
            </w:pPr>
            <w:r>
              <w:rPr>
                <w:rFonts w:ascii="함초롬돋움" w:cs="함초롬돋움" w:eastAsia="함초롬돋움" w:hAnsi="함초롬돋움"/>
                <w:b/>
                <w:bCs/>
                <w:sz w:val="18"/>
                <w:szCs w:val="18"/>
              </w:rPr>
              <w:t xml:space="preserve">0.592</w:t>
            </w:r>
          </w:p>
        </w:tc>
      </w:tr>
    </w:tbl>
    <w:p>
      <w:pPr>
        <w:keepLines/>
        <w:spacing w:after="80" w:before="30" w:line="250" w:lineRule="exact"/>
        <w:jc w:val="both"/>
      </w:pPr>
      <w:r>
        <w:rPr>
          <w:rFonts w:ascii="함초롬돋움" w:cs="함초롬돋움" w:eastAsia="함초롬돋움" w:hAnsi="함초롬돋움"/>
          <w:sz w:val="18"/>
          <w:szCs w:val="18"/>
        </w:rPr>
        <w:t xml:space="preserve">평가 쌍 38,711개(cliff 8,778개), 타깃 간 누수 통제. 신경망은 시드 3개 예측의 평균이며, 굵은 글씨는 분자별, 쌍 입력 방식 각각에서 열별 최솟값이다.</w:t>
      </w:r>
    </w:p>
    <w:p>
      <w:pPr>
        <w:keepNext/>
        <w:spacing w:after="20" w:before="80" w:line="260" w:lineRule="exact"/>
      </w:pPr>
      <w:r>
        <w:rPr>
          <w:rFonts w:ascii="함초롬돋움" w:cs="함초롬돋움" w:eastAsia="함초롬돋움" w:hAnsi="함초롬돋움"/>
          <w:b/>
          <w:bCs/>
          <w:sz w:val="18"/>
          <w:szCs w:val="18"/>
        </w:rPr>
        <w:t xml:space="preserve">4.2 쌍 입력의 효과</w:t>
      </w:r>
    </w:p>
    <w:p>
      <w:pPr>
        <w:spacing w:after="0" w:before="0" w:line="260" w:lineRule="exact"/>
        <w:ind w:firstLine="190"/>
        <w:jc w:val="both"/>
      </w:pPr>
      <w:r>
        <w:rPr>
          <w:rFonts w:ascii="함초롬돋움" w:cs="함초롬돋움" w:eastAsia="함초롬돋움" w:hAnsi="함초롬돋움"/>
          <w:sz w:val="18"/>
          <w:szCs w:val="18"/>
        </w:rPr>
        <w:t xml:space="preserve">인코더, 예측 헤드, 평가 쌍을 동일하게 두고 입력 방식만 바꾸자, cliff RMSE는 Mole-BERT에서 1.158→0.889(23.3%), GINE에서 1.157→0.914(21.1%) 감소했다. 군집 부트스트랩 차이는 각각 −0.270(95% CI [−0.305, −0.237]), −0.244([−0.270, −0.216])였다. 쌍 입력이 더 정확한 타깃은 Mole-BERT 28/30개, GINE 30/30개였고(그림 3) 두 비교 모두 p&lt;0.001이었다.</w:t>
      </w:r>
    </w:p>
    <w:p>
      <w:pPr>
        <w:spacing w:after="0" w:before="0" w:line="260" w:lineRule="exact"/>
        <w:ind w:firstLine="190"/>
        <w:jc w:val="both"/>
      </w:pPr>
      <w:r>
        <w:rPr>
          <w:rFonts w:ascii="함초롬돋움" w:cs="함초롬돋움" w:eastAsia="함초롬돋움" w:hAnsi="함초롬돋움"/>
          <w:sz w:val="18"/>
          <w:szCs w:val="18"/>
        </w:rPr>
        <w:t xml:space="preserve">쌍 입력에서는 그래프와 지문 표현 간 cliff 성능 차이가 유의하지 않았다. ECFP+MLP(0.898)와 그래프 쌍 모델의 차이는 0.009–0.016이었다. Mole-BERT와 ECFP+MLP 비교는 p=0.30(낮은 RMSE 타깃 18/30, 95% CI [−0.034, 0.017]), GINE 비교는 p=0.17이었다.</w:t>
      </w:r>
    </w:p>
    <w:p>
      <w:pPr>
        <w:keepNext/>
        <w:spacing w:after="0" w:before="80"/>
        <w:jc w:val="center"/>
      </w:pPr>
      <w:r>
        <w:drawing>
          <wp:inline distT="0" distB="0" distL="0" distR="0">
            <wp:extent cx="2887980" cy="2302764"/>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87980" cy="2302764"/>
                    </a:xfrm>
                    <a:prstGeom prst="rect">
                      <a:avLst/>
                    </a:prstGeom>
                  </pic:spPr>
                </pic:pic>
              </a:graphicData>
            </a:graphic>
          </wp:inline>
        </w:drawing>
      </w:r>
    </w:p>
    <w:p>
      <w:pPr>
        <w:keepLines/>
        <w:spacing w:after="80" w:before="60" w:line="250" w:lineRule="exact"/>
        <w:jc w:val="both"/>
      </w:pPr>
      <w:r>
        <w:rPr>
          <w:rFonts w:ascii="함초롬돋움" w:cs="함초롬돋움" w:eastAsia="함초롬돋움" w:hAnsi="함초롬돋움"/>
          <w:sz w:val="18"/>
          <w:szCs w:val="18"/>
        </w:rPr>
        <w:t xml:space="preserve">그림 3  타깃 30개별 cliff RMSE 차이(분자별−쌍 입력, pKi 단위). 양수는 쌍 입력 모델이 더 정확함을 뜻하며, 위는 Mole-BERT(28/30), 아래는 GINE(30/30)이다.</w:t>
      </w:r>
    </w:p>
    <w:p>
      <w:pPr>
        <w:keepNext/>
        <w:spacing w:after="40" w:before="100" w:line="290" w:lineRule="exact"/>
      </w:pPr>
      <w:r>
        <w:rPr>
          <w:rFonts w:ascii="함초롬돋움" w:cs="함초롬돋움" w:eastAsia="함초롬돋움" w:hAnsi="함초롬돋움"/>
          <w:b/>
          <w:bCs/>
          <w:sz w:val="20"/>
          <w:szCs w:val="20"/>
        </w:rPr>
        <w:t xml:space="preserve">5. 논  의</w:t>
      </w:r>
    </w:p>
    <w:p>
      <w:pPr>
        <w:keepNext/>
        <w:spacing w:after="20" w:before="80" w:line="260" w:lineRule="exact"/>
      </w:pPr>
      <w:r>
        <w:rPr>
          <w:rFonts w:ascii="함초롬돋움" w:cs="함초롬돋움" w:eastAsia="함초롬돋움" w:hAnsi="함초롬돋움"/>
          <w:b/>
          <w:bCs/>
          <w:sz w:val="18"/>
          <w:szCs w:val="18"/>
        </w:rPr>
        <w:t xml:space="preserve">5.1 기준 분자를 명시하는 설계</w:t>
      </w:r>
    </w:p>
    <w:p>
      <w:pPr>
        <w:spacing w:after="0" w:before="0" w:line="260" w:lineRule="exact"/>
        <w:ind w:firstLine="190"/>
        <w:jc w:val="both"/>
      </w:pPr>
      <w:r>
        <w:rPr>
          <w:rFonts w:ascii="함초롬돋움" w:cs="함초롬돋움" w:eastAsia="함초롬돋움" w:hAnsi="함초롬돋움"/>
          <w:sz w:val="18"/>
          <w:szCs w:val="18"/>
        </w:rPr>
        <w:t xml:space="preserve">쌍 입력은 차이만 맞히는 대신, 실측값을 아는 기준 분자 A를 바탕으로 보지 못한 B의 활성을 예측한다. 기준값을 명시하면 모델은 절대 활성 추정보다 구조 변화에 따른 차이에 집중할 수 있다. 분자별 모델이 cliff에서 약했던 결과(표 1)는 이런 정보가 입력에 없었던 점과 관련될 수 있다.</w:t>
      </w:r>
    </w:p>
    <w:p>
      <w:pPr>
        <w:spacing w:after="0" w:before="0" w:line="260" w:lineRule="exact"/>
        <w:ind w:firstLine="190"/>
        <w:jc w:val="both"/>
      </w:pPr>
      <w:r>
        <w:rPr>
          <w:rFonts w:ascii="함초롬돋움" w:cs="함초롬돋움" w:eastAsia="함초롬돋움" w:hAnsi="함초롬돋움"/>
          <w:sz w:val="18"/>
          <w:szCs w:val="18"/>
        </w:rPr>
        <w:t xml:space="preserve">기존 델타 학습은 두 분자의 예측이 모두 틀려도 차이만 맞으면 오차가 작게 평가될 수 있다. 본 설계는 A의 실측값을 고정해 B의 오차를 직접 반영하므로 이런 오차 상쇄를 막으며, 실측 화합물에서 새 유사체의 활성을 추정하는 신약 최적화에도 부합한다.</w:t>
      </w:r>
    </w:p>
    <w:p>
      <w:pPr>
        <w:spacing w:after="0" w:before="0" w:line="260" w:lineRule="exact"/>
        <w:ind w:firstLine="190"/>
        <w:jc w:val="both"/>
      </w:pPr>
      <w:r>
        <w:rPr>
          <w:rFonts w:ascii="함초롬돋움" w:cs="함초롬돋움" w:eastAsia="함초롬돋움" w:hAnsi="함초롬돋움"/>
          <w:sz w:val="18"/>
          <w:szCs w:val="18"/>
        </w:rPr>
        <w:t xml:space="preserve">쌍 입력에서는 그래프와 지문 표현의 성능 차이가 유의하지 않았고(4.2절), 사전학습 인코더의 추가 이득도 0.025로 작았다. 이는 표현력보다 변화 정보를 입력하는 방식이 중요할 가능성을 시사한다. 다만 인코더 용량을 통제하지 못해 사전학습의 효과를 단정할 수는 없다.</w:t>
      </w:r>
    </w:p>
    <w:p>
      <w:pPr>
        <w:keepNext/>
        <w:spacing w:after="20" w:before="80" w:line="260" w:lineRule="exact"/>
      </w:pPr>
      <w:r>
        <w:rPr>
          <w:rFonts w:ascii="함초롬돋움" w:cs="함초롬돋움" w:eastAsia="함초롬돋움" w:hAnsi="함초롬돋움"/>
          <w:b/>
          <w:bCs/>
          <w:sz w:val="18"/>
          <w:szCs w:val="18"/>
        </w:rPr>
        <w:t xml:space="preserve">5.2 한계</w:t>
      </w:r>
    </w:p>
    <w:p>
      <w:pPr>
        <w:spacing w:after="0" w:before="0" w:line="260" w:lineRule="exact"/>
        <w:ind w:firstLine="190"/>
        <w:jc w:val="both"/>
      </w:pPr>
      <w:r>
        <w:rPr>
          <w:rFonts w:ascii="함초롬돋움" w:cs="함초롬돋움" w:eastAsia="함초롬돋움" w:hAnsi="함초롬돋움"/>
          <w:sz w:val="18"/>
          <w:szCs w:val="18"/>
        </w:rPr>
        <w:t xml:space="preserve">한계는 세 가지다. 첫째, non-cliff RMSE는 ECFP+SVR이 가장 낮아 쌍 입력의 이득이 전체 구간의 우위로 이어지지는 않았다. 둘째, 변화 부위 인코더·편집 정보와 표본 수(쌍 266,115개 대 분자 27,061개)가 함께 달라져 각 요소의 기여를 분리하지 못했다. 셋째, 평가는 한 부위가 바뀐 쌍에 한정되어 여러 부위가 바뀐 경우는 추가 검증이 필요하다.</w:t>
      </w:r>
    </w:p>
    <w:p>
      <w:pPr>
        <w:keepNext/>
        <w:spacing w:after="40" w:before="100" w:line="290" w:lineRule="exact"/>
      </w:pPr>
      <w:r>
        <w:rPr>
          <w:rFonts w:ascii="함초롬돋움" w:cs="함초롬돋움" w:eastAsia="함초롬돋움" w:hAnsi="함초롬돋움"/>
          <w:b/>
          <w:bCs/>
          <w:sz w:val="20"/>
          <w:szCs w:val="20"/>
        </w:rPr>
        <w:t xml:space="preserve">6. 결  론</w:t>
      </w:r>
    </w:p>
    <w:p>
      <w:pPr>
        <w:spacing w:after="0" w:before="0" w:line="260" w:lineRule="exact"/>
        <w:ind w:firstLine="190"/>
        <w:jc w:val="both"/>
      </w:pPr>
      <w:r>
        <w:rPr>
          <w:rFonts w:ascii="함초롬돋움" w:cs="함초롬돋움" w:eastAsia="함초롬돋움" w:hAnsi="함초롬돋움"/>
          <w:sz w:val="18"/>
          <w:szCs w:val="18"/>
        </w:rPr>
        <w:t xml:space="preserve">본 연구는 실측값을 아는 기준 분자와 보지 못한 분자를 쌍으로 입력해 cliff 예측을 개선하였다. 같은 인코더·예측 헤드·평가 쌍에서 입력만 바꿨을 때 cliff RMSE는 GINE에서 21.1%, Mole-BERT에서 23.3% 감소했으며, 각각 30개 중 30개와 28개 타깃에서 개선되었다. 그래프 신경망은 누수를 통제한 평가에서 ECFP+SVR과 대등한 수준(Mole-BERT 쌍 입력 0.889, ECFP+SVR 0.914)에 도달했다.</w:t>
      </w:r>
    </w:p>
    <w:p>
      <w:pPr>
        <w:spacing w:after="0" w:before="0" w:line="260" w:lineRule="exact"/>
        <w:ind w:firstLine="190"/>
        <w:jc w:val="both"/>
      </w:pPr>
      <w:r>
        <w:rPr>
          <w:rFonts w:ascii="함초롬돋움" w:cs="함초롬돋움" w:eastAsia="함초롬돋움" w:hAnsi="함초롬돋움"/>
          <w:sz w:val="18"/>
          <w:szCs w:val="18"/>
        </w:rPr>
        <w:t xml:space="preserve">두 가지 기여를 확인하였다. 첫째, 변화 부위까지 함께 입력하는 쌍 입력 모델은 사전학습 여부가 다른 두 인코더에서 모두 효과적이었다. 둘째, 기준 분자의 실측값으로 보지 못한 분자 하나를 평가해 오차 상쇄를 줄이고, 타깃 간 누수를 통제한 비교 기준을 제시했다.</w:t>
      </w:r>
    </w:p>
    <w:p>
      <w:pPr>
        <w:spacing w:after="0" w:before="0" w:line="260" w:lineRule="exact"/>
        <w:ind w:firstLine="190"/>
        <w:jc w:val="both"/>
      </w:pPr>
      <w:r>
        <w:rPr>
          <w:rFonts w:ascii="함초롬돋움" w:cs="함초롬돋움" w:eastAsia="함초롬돋움" w:hAnsi="함초롬돋움"/>
          <w:sz w:val="18"/>
          <w:szCs w:val="18"/>
        </w:rPr>
        <w:t xml:space="preserve">향후에는 변화 부위 인코더와 편집 정보의 기여를 분리하고, 인코더 용량을 통제해 사전학습 효과를 검증하며, 여러 부위가 바뀐 쌍으로 평가를 확장할 계획이다.</w:t>
      </w:r>
    </w:p>
    <w:p>
      <w:pPr>
        <w:keepNext/>
        <w:spacing w:after="40" w:before="160" w:line="300" w:lineRule="exact"/>
      </w:pPr>
      <w:r>
        <w:rPr>
          <w:rFonts w:ascii="함초롬돋움" w:cs="함초롬돋움" w:eastAsia="함초롬돋움" w:hAnsi="함초롬돋움"/>
          <w:b/>
          <w:bCs/>
          <w:sz w:val="20"/>
          <w:szCs w:val="20"/>
        </w:rPr>
        <w:t xml:space="preserve">참고 문헌</w:t>
      </w:r>
    </w:p>
    <w:p>
      <w:pPr>
        <w:spacing w:after="0" w:before="0" w:line="210" w:lineRule="exact"/>
        <w:ind w:left="340" w:hanging="340"/>
        <w:jc w:val="left"/>
      </w:pPr>
      <w:r>
        <w:rPr>
          <w:rFonts w:ascii="함초롬돋움" w:cs="함초롬돋움" w:eastAsia="함초롬돋움" w:hAnsi="함초롬돋움"/>
          <w:sz w:val="18"/>
          <w:szCs w:val="18"/>
        </w:rPr>
        <w:t xml:space="preserve">[1] Stumpfe, D., Bajorath, J., "Exploring activity cliffs in medicinal chemistry," Journal of Medicinal Chemistry, Vol.55, No.7, pp.2932-2942, 2012.</w:t>
      </w:r>
    </w:p>
    <w:p>
      <w:pPr>
        <w:spacing w:after="0" w:before="0" w:line="210" w:lineRule="exact"/>
        <w:ind w:left="340" w:hanging="340"/>
        <w:jc w:val="left"/>
      </w:pPr>
      <w:r>
        <w:rPr>
          <w:rFonts w:ascii="함초롬돋움" w:cs="함초롬돋움" w:eastAsia="함초롬돋움" w:hAnsi="함초롬돋움"/>
          <w:sz w:val="18"/>
          <w:szCs w:val="18"/>
        </w:rPr>
        <w:t xml:space="preserve">[2] van Tilborg, D., Alenicheva, A., Grisoni, F., "Exposing the limitations of molecular machine learning with activity cliffs," Journal of Chemical Information and Modeling, Vol.62, No.23, pp.5938-5951, 2022.</w:t>
      </w:r>
    </w:p>
    <w:p>
      <w:pPr>
        <w:spacing w:after="0" w:before="0" w:line="210" w:lineRule="exact"/>
        <w:ind w:left="340" w:hanging="340"/>
        <w:jc w:val="left"/>
      </w:pPr>
      <w:r>
        <w:rPr>
          <w:rFonts w:ascii="함초롬돋움" w:cs="함초롬돋움" w:eastAsia="함초롬돋움" w:hAnsi="함초롬돋움"/>
          <w:sz w:val="18"/>
          <w:szCs w:val="18"/>
        </w:rPr>
        <w:t xml:space="preserve">[3] Rogers, D., Hahn, M., "Extended-connectivity fingerprints," Journal of Chemical Information and Modeling, Vol.50, No.5, pp.742-754, 2010.</w:t>
      </w:r>
    </w:p>
    <w:p>
      <w:pPr>
        <w:spacing w:after="0" w:before="0" w:line="210" w:lineRule="exact"/>
        <w:ind w:left="340" w:hanging="340"/>
        <w:jc w:val="left"/>
      </w:pPr>
      <w:r>
        <w:rPr>
          <w:rFonts w:ascii="함초롬돋움" w:cs="함초롬돋움" w:eastAsia="함초롬돋움" w:hAnsi="함초롬돋움"/>
          <w:sz w:val="18"/>
          <w:szCs w:val="18"/>
        </w:rPr>
        <w:t xml:space="preserve">[4] Dablander, M., Hanser, T., Lambiotte, R., Morris, G. M., "Exploring QSAR models for activity-cliff prediction," Journal of Cheminformatics, Vol.15, No.1, Article 47, 2023.</w:t>
      </w:r>
    </w:p>
    <w:p>
      <w:pPr>
        <w:spacing w:after="0" w:before="0" w:line="210" w:lineRule="exact"/>
        <w:ind w:left="340" w:hanging="340"/>
        <w:jc w:val="left"/>
      </w:pPr>
      <w:r>
        <w:rPr>
          <w:rFonts w:ascii="함초롬돋움" w:cs="함초롬돋움" w:eastAsia="함초롬돋움" w:hAnsi="함초롬돋움"/>
          <w:sz w:val="18"/>
          <w:szCs w:val="18"/>
        </w:rPr>
        <w:t xml:space="preserve">[5] Fralish, Z., Chen, A., Skaluba, P., Reker, D., "DeepDelta: Predicting ADMET improvements of molecular derivatives with deep learning," Journal of Cheminformatics, Vol.15, No.1, Article 101, 2023.</w:t>
      </w:r>
    </w:p>
    <w:p>
      <w:pPr>
        <w:spacing w:after="0" w:before="0" w:line="210" w:lineRule="exact"/>
        <w:ind w:left="340" w:hanging="340"/>
        <w:jc w:val="left"/>
      </w:pPr>
      <w:r>
        <w:rPr>
          <w:rFonts w:ascii="함초롬돋움" w:cs="함초롬돋움" w:eastAsia="함초롬돋움" w:hAnsi="함초롬돋움"/>
          <w:sz w:val="18"/>
          <w:szCs w:val="18"/>
        </w:rPr>
        <w:t xml:space="preserve">[6] Zhang, Y., et al., "Similarity-based pairing improves efficiency of siamese neural networks for regression tasks and uncertainty quantification," Journal of Cheminformatics, Vol.15, No.1, Article 75, 2023.</w:t>
      </w:r>
    </w:p>
    <w:p>
      <w:pPr>
        <w:spacing w:after="0" w:before="0" w:line="210" w:lineRule="exact"/>
        <w:ind w:left="340" w:hanging="340"/>
        <w:jc w:val="left"/>
      </w:pPr>
      <w:r>
        <w:rPr>
          <w:rFonts w:ascii="함초롬돋움" w:cs="함초롬돋움" w:eastAsia="함초롬돋움" w:hAnsi="함초롬돋움"/>
          <w:sz w:val="18"/>
          <w:szCs w:val="18"/>
        </w:rPr>
        <w:t xml:space="preserve">[7] Zadorozhny, K., et al., "Similarity-quantized relative difference learning for improved molecular activity prediction," arXiv preprint arXiv:2501.09103, 2025.</w:t>
      </w:r>
    </w:p>
    <w:p>
      <w:pPr>
        <w:spacing w:after="0" w:before="0" w:line="210" w:lineRule="exact"/>
        <w:ind w:left="340" w:hanging="340"/>
        <w:jc w:val="left"/>
      </w:pPr>
      <w:r>
        <w:rPr>
          <w:rFonts w:ascii="함초롬돋움" w:cs="함초롬돋움" w:eastAsia="함초롬돋움" w:hAnsi="함초롬돋움"/>
          <w:sz w:val="18"/>
          <w:szCs w:val="18"/>
        </w:rPr>
        <w:t xml:space="preserve">[8] Xu, K., Hu, W., Leskovec, J., Jegelka, S., "How powerful are graph neural networks?," Proceedings of the International Conference on Learning Representations (ICLR), 2019.</w:t>
      </w:r>
    </w:p>
    <w:p>
      <w:pPr>
        <w:spacing w:after="0" w:before="0" w:line="210" w:lineRule="exact"/>
        <w:ind w:left="340" w:hanging="340"/>
        <w:jc w:val="left"/>
      </w:pPr>
      <w:r>
        <w:rPr>
          <w:rFonts w:ascii="함초롬돋움" w:cs="함초롬돋움" w:eastAsia="함초롬돋움" w:hAnsi="함초롬돋움"/>
          <w:sz w:val="18"/>
          <w:szCs w:val="18"/>
        </w:rPr>
        <w:t xml:space="preserve">[9] Xia, J., et al., "Mole-BERT: Rethinking pre-training graph neural networks for molecules," Proceedings of the International Conference on Learning Representations (ICLR), 2023.</w:t>
      </w:r>
    </w:p>
    <w:p>
      <w:pPr>
        <w:spacing w:after="0" w:before="0" w:line="210" w:lineRule="exact"/>
        <w:ind w:left="340" w:hanging="340"/>
        <w:jc w:val="left"/>
      </w:pPr>
      <w:r>
        <w:rPr>
          <w:rFonts w:ascii="함초롬돋움" w:cs="함초롬돋움" w:eastAsia="함초롬돋움" w:hAnsi="함초롬돋움"/>
          <w:sz w:val="18"/>
          <w:szCs w:val="18"/>
        </w:rPr>
        <w:t xml:space="preserve">[10] Shu, Z., et al., "MTPNet: Multi-grained target perception for unified activity cliff prediction," Proceedings of the International Joint Conference on Artificial Intelligence (IJCAI), pp.7733-7741, 2025.</w:t>
      </w:r>
    </w:p>
    <w:p>
      <w:pPr>
        <w:spacing w:after="0" w:before="0" w:line="210" w:lineRule="exact"/>
        <w:ind w:left="340" w:hanging="340"/>
        <w:jc w:val="left"/>
      </w:pPr>
      <w:r>
        <w:rPr>
          <w:rFonts w:ascii="함초롬돋움" w:cs="함초롬돋움" w:eastAsia="함초롬돋움" w:hAnsi="함초롬돋움"/>
          <w:sz w:val="18"/>
          <w:szCs w:val="18"/>
        </w:rPr>
        <w:t xml:space="preserve">[11] Hu, W., et al., "Strategies for pre-training graph neural networks," Proceedings of the International Conference on Learning Representations (ICLR), 2020.</w:t>
      </w:r>
    </w:p>
    <w:sectPr>
      <w:type w:val="continuous"/>
      <w:pgSz w:w="11906" w:h="16838" w:orient="portrait"/>
      <w:pgMar w:top="1701" w:right="567" w:bottom="1134" w:left="567" w:header="0" w:footer="0" w:gutter="0"/>
      <w:pgNumType/>
      <w:cols w:space="720" w:num="2" w:equalWidth="tru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함초롬돋움" w:cs="함초롬돋움" w:eastAsia="함초롬돋움" w:hAnsi="함초롬돋움"/>
        <w:sz w:val="18"/>
        <w:szCs w:val="1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e238732c7474cae35dfbf31630d43f9ce57f6d73.png"/><Relationship Id="rId8" Type="http://schemas.openxmlformats.org/officeDocument/2006/relationships/image" Target="media/b084a9639fafa3509f5225492b9cacbb9cf8d1e0.png"/><Relationship Id="rId9" Type="http://schemas.openxmlformats.org/officeDocument/2006/relationships/image" Target="media/dbc0e00b93f67cb80633a509fd9db807d1f205a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2026-10-16T14:37:48.030Z</dcterms:created>
  <dcterms:modified xsi:type="dcterms:W3CDTF">2026-10-16T14:37:48.036Z</dcterms:modified>
</cp:coreProperties>
</file>

<file path=docProps/custom.xml><?xml version="1.0" encoding="utf-8"?>
<Properties xmlns="http://schemas.openxmlformats.org/officeDocument/2006/custom-properties" xmlns:vt="http://schemas.openxmlformats.org/officeDocument/2006/docPropsVTypes"/>
</file>