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ésumé"/>
    <w:p>
      <w:pPr>
        <w:spacing w:after="120"/>
      </w:pPr>
      <w:r>
        <w:drawing>
          <wp:inline>
            <wp:extent cx="756000" cy="756000"/>
            <wp:docPr id="71" name="Picture 71"/>
            <wp:cNvGraphicFramePr>
              <a:graphicFrameLocks noChangeAspect="1"/>
            </wp:cNvGraphicFramePr>
            <a:graphic>
              <a:graphicData uri="http://schemas.openxmlformats.org/drawingml/2006/picture">
                <pic:pic>
                  <pic:nvPicPr>
                    <pic:cNvPr id="0" name="ucad_emblem.png"/>
                    <pic:cNvPicPr/>
                  </pic:nvPicPr>
                  <pic:blipFill>
                    <a:blip r:embed="rId9"/>
                    <a:stretch>
                      <a:fillRect/>
                    </a:stretch>
                  </pic:blipFill>
                  <pic:spPr>
                    <a:xfrm>
                      <a:off x="0" y="0"/>
                      <a:ext cx="756000" cy="756000"/>
                    </a:xfrm>
                    <a:prstGeom prst="rect"/>
                  </pic:spPr>
                </pic:pic>
              </a:graphicData>
            </a:graphic>
          </wp:inline>
        </w:drawing>
      </w:r>
    </w:p>
    <w:p>
      <w:pPr>
        <w:spacing w:after="0"/>
      </w:pPr>
      <w:r>
        <w:rPr>
          <w:rFonts w:ascii="Calibri" w:hAnsi="Calibri"/>
          <w:b/>
          <w:color w:val="0F1B2D"/>
          <w:sz w:val="26"/>
        </w:rPr>
        <w:t>Université Cheikh Anta Diop de Dakar</w:t>
      </w:r>
    </w:p>
    <w:p>
      <w:pPr>
        <w:spacing w:after="0"/>
      </w:pPr>
      <w:r>
        <w:rPr>
          <w:rFonts w:ascii="Calibri" w:hAnsi="Calibri"/>
          <w:b w:val="0"/>
          <w:color w:val="5A6678"/>
          <w:sz w:val="21"/>
        </w:rPr>
        <w:t>Faculté des Sciences et Techniques</w:t>
      </w:r>
    </w:p>
    <w:p>
      <w:pPr>
        <w:spacing w:after="80"/>
      </w:pPr>
      <w:r>
        <w:rPr>
          <w:rFonts w:ascii="Calibri" w:hAnsi="Calibri"/>
          <w:b w:val="0"/>
          <w:color w:val="5A6678"/>
          <w:sz w:val="21"/>
        </w:rPr>
        <w:t>Département de Mathématiques et Informatique, section Informatique</w:t>
      </w:r>
    </w:p>
    <w:p>
      <w:pPr>
        <w:spacing w:after="0"/>
      </w:pPr>
    </w:p>
    <w:p>
      <w:pPr>
        <w:spacing w:after="0"/>
      </w:pPr>
    </w:p>
    <w:p>
      <w:pPr>
        <w:spacing w:after="0"/>
      </w:pPr>
    </w:p>
    <w:p>
      <w:pPr>
        <w:spacing w:after="0"/>
      </w:pPr>
    </w:p>
    <w:p>
      <w:pPr>
        <w:spacing w:after="0"/>
      </w:pPr>
    </w:p>
    <w:p>
      <w:pPr>
        <w:spacing w:after="0"/>
      </w:pPr>
    </w:p>
    <w:p>
      <w:pPr>
        <w:spacing w:after="0"/>
      </w:pPr>
    </w:p>
    <w:p>
      <w:pPr>
        <w:spacing w:after="200"/>
      </w:pPr>
      <w:r>
        <w:rPr>
          <w:rFonts w:ascii="Calibri" w:hAnsi="Calibri"/>
          <w:b/>
          <w:color w:val="0B6E99"/>
          <w:sz w:val="19"/>
        </w:rPr>
        <w:t>RAPPORT DE PROJET · MASTER 2 BUSINESS INTELLIGENCE</w:t>
      </w:r>
    </w:p>
    <w:p>
      <w:pPr>
        <w:spacing w:after="240"/>
      </w:pPr>
      <w:r>
        <w:rPr>
          <w:rFonts w:ascii="Calibri" w:hAnsi="Calibri"/>
          <w:b/>
          <w:color w:val="0F1B2D"/>
          <w:sz w:val="48"/>
        </w:rPr>
        <w:t>Conception d’une Modern Data Platform avec architecture Médaillon et application Text-to-SQL basée sur l’IA</w:t>
      </w:r>
    </w:p>
    <w:p>
      <w:pPr>
        <w:spacing w:after="80"/>
      </w:pPr>
      <w:r>
        <w:rPr>
          <w:rFonts w:ascii="Calibri" w:hAnsi="Calibri"/>
          <w:b w:val="0"/>
          <w:color w:val="5A6678"/>
          <w:sz w:val="26"/>
        </w:rPr>
        <w:t>Wide World Importers · SQL Server, DLT, dbt, Dagster, Snowflake, Streamlit</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r>
        <w:rPr>
          <w:rFonts w:ascii="Calibri" w:hAnsi="Calibri"/>
          <w:b w:val="0"/>
          <w:color w:val="5A6678"/>
          <w:sz w:val="18"/>
        </w:rPr>
        <w:t>Réalisé par</w:t>
      </w:r>
    </w:p>
    <w:p>
      <w:pPr>
        <w:spacing w:after="160"/>
      </w:pPr>
      <w:r>
        <w:rPr>
          <w:rFonts w:ascii="Calibri" w:hAnsi="Calibri"/>
          <w:b/>
          <w:color w:val="0F1B2D"/>
          <w:sz w:val="23"/>
        </w:rPr>
        <w:t>Ibrahima Lang Diop</w:t>
      </w:r>
    </w:p>
    <w:p>
      <w:pPr>
        <w:spacing w:after="0"/>
      </w:pPr>
      <w:r>
        <w:rPr>
          <w:rFonts w:ascii="Calibri" w:hAnsi="Calibri"/>
          <w:b w:val="0"/>
          <w:color w:val="5A6678"/>
          <w:sz w:val="18"/>
        </w:rPr>
        <w:t>Encadrant</w:t>
      </w:r>
    </w:p>
    <w:p>
      <w:pPr>
        <w:spacing w:after="160"/>
      </w:pPr>
      <w:r>
        <w:rPr>
          <w:rFonts w:ascii="Calibri" w:hAnsi="Calibri"/>
          <w:b/>
          <w:color w:val="0F1B2D"/>
          <w:sz w:val="23"/>
        </w:rPr>
        <w:t>Dr. Jean Gane Sarr</w:t>
      </w:r>
    </w:p>
    <w:p>
      <w:pPr>
        <w:spacing w:after="0"/>
      </w:pPr>
      <w:r>
        <w:rPr>
          <w:rFonts w:ascii="Calibri" w:hAnsi="Calibri"/>
          <w:b w:val="0"/>
          <w:color w:val="5A6678"/>
          <w:sz w:val="18"/>
        </w:rPr>
        <w:t>Année universitaire</w:t>
      </w:r>
    </w:p>
    <w:p>
      <w:pPr>
        <w:spacing w:after="160"/>
      </w:pPr>
      <w:r>
        <w:rPr>
          <w:rFonts w:ascii="Calibri" w:hAnsi="Calibri"/>
          <w:b/>
          <w:color w:val="0F1B2D"/>
          <w:sz w:val="23"/>
        </w:rPr>
        <w:t>2025–2026</w:t>
      </w:r>
    </w:p>
    <w:p>
      <w:pPr>
        <w:spacing w:after="80"/>
      </w:pPr>
      <w:r>
        <w:br w:type="page"/>
      </w:r>
    </w:p>
    <w:p>
      <w:pPr>
        <w:pStyle w:val="Heading1"/>
      </w:pPr>
      <w:r>
        <w:t xml:space="preserve">Résumé</w:t>
      </w:r>
    </w:p>
    <w:p>
      <w:pPr>
        <w:pStyle w:val="FirstParagraph"/>
      </w:pPr>
      <w:r>
        <w:t xml:space="preserve">Ce projet consiste à monter une plateforme de données à partir de la base</w:t>
      </w:r>
      <w:r>
        <w:t xml:space="preserve"> </w:t>
      </w:r>
      <w:r>
        <w:rPr>
          <w:iCs/>
          <w:i/>
        </w:rPr>
        <w:t xml:space="preserve">Wide World Importers</w:t>
      </w:r>
      <w:r>
        <w:t xml:space="preserve"> </w:t>
      </w:r>
      <w:r>
        <w:t xml:space="preserve">de Microsoft. Les données sont extraites de SQL Server avec DLT, chargées dans Snowflake, puis transformées avec dbt selon une architecture Médaillon (Bronze, Silver, Gold). Dagster orchestre le tout et lance la chaîne chaque nuit. Une application Streamlit permet ensuite de poser des questions en français sur la couche Gold : un modèle de langage écrit la requête SQL et l’application affiche le résultat. Comme Cortex n’est pas disponible sur un compte d’essai Snowflake, c’est un modèle local (Ollama) qui génère le SQL.</w:t>
      </w:r>
    </w:p>
    <w:p>
      <w:pPr>
        <w:pStyle w:val="BodyText"/>
      </w:pPr>
      <w:r>
        <w:rPr>
          <w:bCs/>
          <w:b/>
        </w:rPr>
        <w:t xml:space="preserve">Mots-clés :</w:t>
      </w:r>
      <w:r>
        <w:t xml:space="preserve"> </w:t>
      </w:r>
      <w:r>
        <w:t xml:space="preserve">Modern Data Platform, Médaillon, Snowflake, dbt, Dagster, Text-to-SQL.</w:t>
      </w:r>
    </w:p>
    <w:p>
      <w:pPr>
        <w:pStyle w:val="BodyText"/>
      </w:pPr>
      <w:r>
        <w:rPr>
          <w:bCs/>
          <w:b/>
        </w:rPr>
        <w:t xml:space="preserve">Abstract.</w:t>
      </w:r>
      <w:r>
        <w:t xml:space="preserve"> </w:t>
      </w:r>
      <w:r>
        <w:t xml:space="preserve">This project builds a data platform on Microsoft’s</w:t>
      </w:r>
      <w:r>
        <w:t xml:space="preserve"> </w:t>
      </w:r>
      <w:r>
        <w:rPr>
          <w:iCs/>
          <w:i/>
        </w:rPr>
        <w:t xml:space="preserve">Wide World Importers</w:t>
      </w:r>
      <w:r>
        <w:t xml:space="preserve"> </w:t>
      </w:r>
      <w:r>
        <w:t xml:space="preserve">database. Data is extracted from SQL Server with DLT, loaded into Snowflake and transformed with dbt into Bronze, Silver and Gold layers, with Dagster running the whole chain every night. A Streamlit application lets users ask questions in French; a language model writes the SQL query, which is checked and run on the Gold layer. Since Cortex is not available on a Snowflake trial account, a local model served by Ollama generates the SQL.</w:t>
      </w:r>
    </w:p>
    <w:p>
      <w:pPr>
        <w:pStyle w:val="TOCHeading"/>
      </w:pPr>
      <w:r>
        <w:t>Table des matières</w:t>
      </w:r>
    </w:p>
    <w:p>
      <w:r>
        <w:fldChar w:fldCharType="begin" w:dirty="true"/>
      </w:r>
      <w:r>
        <w:instrText xml:space="preserve"> TOC \o "1-2" \h \z \u </w:instrText>
      </w:r>
      <w:r>
        <w:fldChar w:fldCharType="separate"/>
      </w:r>
      <w:r>
        <w:t>Ouvrez le document dans Word et acceptez la mise à jour des champs pour afficher la table des matières.</w:t>
      </w:r>
      <w:r>
        <w:fldChar w:fldCharType="end"/>
      </w:r>
    </w:p>
    <w:p>
      <w:r>
        <w:br w:type="page"/>
      </w:r>
    </w:p>
    <w:bookmarkEnd w:id="20"/>
    <w:bookmarkStart w:id="21" w:name="introduction"/>
    <w:p>
      <w:pPr>
        <w:pStyle w:val="Heading1"/>
      </w:pPr>
      <w:r>
        <w:t xml:space="preserve">Introduction</w:t>
      </w:r>
    </w:p>
    <w:p>
      <w:pPr>
        <w:pStyle w:val="FirstParagraph"/>
      </w:pPr>
      <w:r>
        <w:t xml:space="preserve">Dans une entreprise commerciale, les données de vente sont stockées dans une base transactionnelle faite pour enregistrer des commandes, pas pour les analyser. Pour savoir quels clients rapportent le plus ou comment évoluent les ventes, il faut extraire ces données, les nettoyer et les réorganiser. Et même une fois l’entrepôt construit, un responsable commercial dépend souvent de quelqu’un qui sait écrire du SQL.</w:t>
      </w:r>
    </w:p>
    <w:p>
      <w:pPr>
        <w:pStyle w:val="BodyText"/>
      </w:pPr>
      <w:r>
        <w:t xml:space="preserve">Le sujet du projet part de ce constat. Il demande de construire une</w:t>
      </w:r>
      <w:r>
        <w:t xml:space="preserve"> </w:t>
      </w:r>
      <w:r>
        <w:rPr>
          <w:iCs/>
          <w:i/>
        </w:rPr>
        <w:t xml:space="preserve">Modern Data Platform</w:t>
      </w:r>
      <w:r>
        <w:t xml:space="preserve"> </w:t>
      </w:r>
      <w:r>
        <w:t xml:space="preserve">sur la base</w:t>
      </w:r>
      <w:r>
        <w:t xml:space="preserve"> </w:t>
      </w:r>
      <w:r>
        <w:rPr>
          <w:iCs/>
          <w:i/>
        </w:rPr>
        <w:t xml:space="preserve">Wide World Importers</w:t>
      </w:r>
      <w:r>
        <w:t xml:space="preserve"> </w:t>
      </w:r>
      <w:r>
        <w:t xml:space="preserve">: ingestion avec DLT, stockage dans Snowflake en architecture Médaillon, transformations avec dbt, orchestration avec Dagster. Il demande aussi une application Streamlit qui traduit une question en langage naturel en requête SQL grâce à l’IA.</w:t>
      </w:r>
    </w:p>
    <w:p>
      <w:pPr>
        <w:pStyle w:val="BodyText"/>
      </w:pPr>
      <w:r>
        <w:t xml:space="preserve">La question à laquelle nous avons essayé de répondre est donc la suivante : comment automatiser la chaîne qui va de la base source jusqu’à un modèle d’analyse, puis permettre d’interroger ce modèle en français sans connaître SQL ?</w:t>
      </w:r>
    </w:p>
    <w:p>
      <w:pPr>
        <w:pStyle w:val="BodyText"/>
      </w:pPr>
      <w:r>
        <w:t xml:space="preserve">Nous avons d’abord fait fonctionner toute la chaîne en local avec DuckDB, pour ne pas consommer de crédits pendant les essais, puis nous l’avons basculée sur Snowflake. Le chapitre 1 présente rapidement les notions et les outils utilisés. Le chapitre 2 décrit les données et l’architecture. Le chapitre 3 détaille la mise en œuvre avec quelques extraits de code, et le chapitre 4 présente les résultats, les problèmes rencontrés et les limites.</w:t>
      </w:r>
    </w:p>
    <w:bookmarkEnd w:id="21"/>
    <w:bookmarkStart w:id="27" w:name="notions-et-outils"/>
    <w:p>
      <w:pPr>
        <w:pStyle w:val="Heading1"/>
      </w:pPr>
      <w:r>
        <w:rPr>
          <w:rStyle w:val="SectionNumber"/>
        </w:rPr>
        <w:t xml:space="preserve">1</w:t>
      </w:r>
      <w:r>
        <w:tab/>
      </w:r>
      <w:r>
        <w:t xml:space="preserve">Notions et outils</w:t>
      </w:r>
    </w:p>
    <w:bookmarkStart w:id="22" w:name="elt-et-modern-data-platform"/>
    <w:p>
      <w:pPr>
        <w:pStyle w:val="Heading2"/>
      </w:pPr>
      <w:r>
        <w:rPr>
          <w:rStyle w:val="SectionNumber"/>
        </w:rPr>
        <w:t xml:space="preserve">1.1</w:t>
      </w:r>
      <w:r>
        <w:tab/>
      </w:r>
      <w:r>
        <w:t xml:space="preserve">ELT et Modern Data Platform</w:t>
      </w:r>
    </w:p>
    <w:p>
      <w:pPr>
        <w:pStyle w:val="FirstParagraph"/>
      </w:pPr>
      <w:r>
        <w:t xml:space="preserve">Dans un entrepôt classique (ETL), les données sont transformées avant d’être chargées. Avec les entrepôts cloud comme Snowflake, le stockage coûte peu et la puissance de calcul se loue à la demande. On charge donc d’abord les données brutes, puis on les transforme directement dans l’entrepôt en SQL : c’est l’approche ELT. Une Modern Data Platform regroupe autour de l’entrepôt plusieurs outils spécialisés, un par étape, que l’on peut remplacer séparément. C’est d’ailleurs ce qui nous a permis de passer de DuckDB à Snowflake sans réécrire le projet.</w:t>
      </w:r>
    </w:p>
    <w:bookmarkEnd w:id="22"/>
    <w:bookmarkStart w:id="23" w:name="architecture-médaillon"/>
    <w:p>
      <w:pPr>
        <w:pStyle w:val="Heading2"/>
      </w:pPr>
      <w:r>
        <w:rPr>
          <w:rStyle w:val="SectionNumber"/>
        </w:rPr>
        <w:t xml:space="preserve">1.2</w:t>
      </w:r>
      <w:r>
        <w:tab/>
      </w:r>
      <w:r>
        <w:t xml:space="preserve">Architecture Médaillon</w:t>
      </w:r>
    </w:p>
    <w:p>
      <w:pPr>
        <w:pStyle w:val="FirstParagraph"/>
      </w:pPr>
      <w:r>
        <w:t xml:space="preserve">L’architecture Médaillon découpe l’entrepôt en trois couches.</w:t>
      </w:r>
      <w:r>
        <w:t xml:space="preserve"> </w:t>
      </w:r>
      <w:r>
        <w:rPr>
          <w:bCs/>
          <w:b/>
        </w:rPr>
        <w:t xml:space="preserve">Bronze</w:t>
      </w:r>
      <w:r>
        <w:t xml:space="preserve"> </w:t>
      </w:r>
      <w:r>
        <w:t xml:space="preserve">garde les données telles qu’elles arrivent de la source.</w:t>
      </w:r>
      <w:r>
        <w:t xml:space="preserve"> </w:t>
      </w:r>
      <w:r>
        <w:rPr>
          <w:bCs/>
          <w:b/>
        </w:rPr>
        <w:t xml:space="preserve">Silver</w:t>
      </w:r>
      <w:r>
        <w:t xml:space="preserve"> </w:t>
      </w:r>
      <w:r>
        <w:t xml:space="preserve">contient les données nettoyées : colonnes renommées, types corrigés, jointures techniques.</w:t>
      </w:r>
      <w:r>
        <w:t xml:space="preserve"> </w:t>
      </w:r>
      <w:r>
        <w:rPr>
          <w:bCs/>
          <w:b/>
        </w:rPr>
        <w:t xml:space="preserve">Gold</w:t>
      </w:r>
      <w:r>
        <w:t xml:space="preserve"> </w:t>
      </w:r>
      <w:r>
        <w:t xml:space="preserve">contient le modèle destiné à l’analyse. L’intérêt principal est de pouvoir corriger une transformation et la relancer sans avoir à réinterroger la source.</w:t>
      </w:r>
    </w:p>
    <w:p>
      <w:pPr>
        <w:pStyle w:val="BodyText"/>
      </w:pPr>
      <w:r>
        <w:t xml:space="preserve">Pour la couche Gold, nous avons utilisé la modélisation en étoile de Kimball : des tables de faits qui enregistrent des événements chiffrés (une ligne de commande, une ligne de facture) et des dimensions qui les décrivent (client, produit, vendeur, date). Ce type de schéma, avec peu de tables et des noms explicites, est aussi plus facile à interroger pour un modèle de langage.</w:t>
      </w:r>
    </w:p>
    <w:bookmarkEnd w:id="23"/>
    <w:bookmarkStart w:id="24" w:name="text-to-sql"/>
    <w:p>
      <w:pPr>
        <w:pStyle w:val="Heading2"/>
      </w:pPr>
      <w:r>
        <w:rPr>
          <w:rStyle w:val="SectionNumber"/>
        </w:rPr>
        <w:t xml:space="preserve">1.3</w:t>
      </w:r>
      <w:r>
        <w:tab/>
      </w:r>
      <w:r>
        <w:t xml:space="preserve">Text-to-SQL</w:t>
      </w:r>
    </w:p>
    <w:p>
      <w:pPr>
        <w:pStyle w:val="FirstParagraph"/>
      </w:pPr>
      <w:r>
        <w:t xml:space="preserve">Le principe est d’envoyer à un modèle de langage une consigne qui contient la description des tables et la question de l’utilisateur, et de lui demander la requête SQL correspondante. Le modèle ne voit pas les données, seulement les noms des tables et des colonnes. Il peut se tromper sur le sens métier (prendre un montant TTC au lieu du HT, par exemple), ajouter du texte autour de la requête, ou même proposer une requête qui modifie les données. Il faut donc lui donner les définitions importantes et contrôler la requête avant de l’exécuter.</w:t>
      </w:r>
    </w:p>
    <w:bookmarkEnd w:id="24"/>
    <w:bookmarkStart w:id="26" w:name="outils-utilisés"/>
    <w:p>
      <w:pPr>
        <w:pStyle w:val="Heading2"/>
      </w:pPr>
      <w:r>
        <w:rPr>
          <w:rStyle w:val="SectionNumber"/>
        </w:rPr>
        <w:t xml:space="preserve">1.4</w:t>
      </w:r>
      <w:r>
        <w:tab/>
      </w:r>
      <w:r>
        <w:t xml:space="preserve">Outils utilisés</w:t>
      </w:r>
    </w:p>
    <w:bookmarkStart w:id="25" w:name="tab:outils"/>
    <w:p>
      <w:pPr>
        <w:pStyle w:val="TableCaption"/>
      </w:pPr>
      <w:r>
        <w:rPr>
          <w:bCs/>
          <w:b/>
        </w:rPr>
        <w:t xml:space="preserve">Tableau 1.1</w:t>
      </w:r>
      <w:r>
        <w:t xml:space="preserve"> – Outils utilisés</w:t>
      </w:r>
    </w:p>
    <w:tbl>
      <w:tblPr>
        <w:tblStyle w:val="Table"/>
        <w:tblW w:type="auto" w:w="0"/>
        <w:tblLook w:firstRow="1" w:lastRow="0" w:firstColumn="0" w:lastColumn="0" w:noHBand="0" w:noVBand="0" w:val="0020"/>
        <w:jc w:val="start"/>
        <w:tblCaption w:val="Tableau 1.1 – Outils utilisés"/>
      </w:tblPr>
      <w:tblGrid>
        <w:gridCol w:w="2640"/>
        <w:gridCol w:w="2640"/>
        <w:gridCol w:w="2640"/>
      </w:tblGrid>
      <w:tr>
        <w:trPr>
          <w:tblHeader w:val="true"/>
        </w:trPr>
        <w:tc>
          <w:tcPr/>
          <w:p>
            <w:pPr>
              <w:pStyle w:val="Compact"/>
              <w:jc w:val="left"/>
            </w:pPr>
            <w:r>
              <w:t xml:space="preserve">Étape</w:t>
            </w:r>
          </w:p>
        </w:tc>
        <w:tc>
          <w:tcPr/>
          <w:p>
            <w:pPr>
              <w:pStyle w:val="Compact"/>
              <w:jc w:val="left"/>
            </w:pPr>
            <w:r>
              <w:t xml:space="preserve">Outil</w:t>
            </w:r>
          </w:p>
        </w:tc>
        <w:tc>
          <w:tcPr/>
          <w:p>
            <w:pPr>
              <w:pStyle w:val="Compact"/>
              <w:jc w:val="left"/>
            </w:pPr>
            <w:r>
              <w:t xml:space="preserve">Utilisation dans le projet</w:t>
            </w:r>
          </w:p>
        </w:tc>
      </w:tr>
      <w:tr>
        <w:tc>
          <w:tcPr/>
          <w:p>
            <w:pPr>
              <w:pStyle w:val="Compact"/>
              <w:jc w:val="left"/>
            </w:pPr>
            <w:r>
              <w:t xml:space="preserve">Source</w:t>
            </w:r>
          </w:p>
        </w:tc>
        <w:tc>
          <w:tcPr/>
          <w:p>
            <w:pPr>
              <w:pStyle w:val="Compact"/>
              <w:jc w:val="left"/>
            </w:pPr>
            <w:r>
              <w:t xml:space="preserve">SQL Server</w:t>
            </w:r>
          </w:p>
        </w:tc>
        <w:tc>
          <w:tcPr/>
          <w:p>
            <w:pPr>
              <w:pStyle w:val="Compact"/>
              <w:jc w:val="left"/>
            </w:pPr>
            <w:r>
              <w:t xml:space="preserve">base</w:t>
            </w:r>
            <w:r>
              <w:t xml:space="preserve"> </w:t>
            </w:r>
            <w:r>
              <w:rPr>
                <w:iCs/>
                <w:i/>
              </w:rPr>
              <w:t xml:space="preserve">WideWorldImporters</w:t>
            </w:r>
          </w:p>
        </w:tc>
      </w:tr>
      <w:tr>
        <w:tc>
          <w:tcPr/>
          <w:p>
            <w:pPr>
              <w:pStyle w:val="Compact"/>
              <w:jc w:val="left"/>
            </w:pPr>
            <w:r>
              <w:t xml:space="preserve">Ingestion</w:t>
            </w:r>
          </w:p>
        </w:tc>
        <w:tc>
          <w:tcPr/>
          <w:p>
            <w:pPr>
              <w:pStyle w:val="Compact"/>
              <w:jc w:val="left"/>
            </w:pPr>
            <w:r>
              <w:t xml:space="preserve">DLT</w:t>
            </w:r>
          </w:p>
        </w:tc>
        <w:tc>
          <w:tcPr/>
          <w:p>
            <w:pPr>
              <w:pStyle w:val="Compact"/>
              <w:jc w:val="left"/>
            </w:pPr>
            <w:r>
              <w:t xml:space="preserve">chargement de dix tables dans Bronze</w:t>
            </w:r>
          </w:p>
        </w:tc>
      </w:tr>
      <w:tr>
        <w:tc>
          <w:tcPr/>
          <w:p>
            <w:pPr>
              <w:pStyle w:val="Compact"/>
              <w:jc w:val="left"/>
            </w:pPr>
            <w:r>
              <w:t xml:space="preserve">Entrepôt</w:t>
            </w:r>
          </w:p>
        </w:tc>
        <w:tc>
          <w:tcPr/>
          <w:p>
            <w:pPr>
              <w:pStyle w:val="Compact"/>
              <w:jc w:val="left"/>
            </w:pPr>
            <w:r>
              <w:t xml:space="preserve">Snowflake</w:t>
            </w:r>
          </w:p>
        </w:tc>
        <w:tc>
          <w:tcPr/>
          <w:p>
            <w:pPr>
              <w:pStyle w:val="Compact"/>
              <w:jc w:val="left"/>
            </w:pPr>
            <w:r>
              <w:t xml:space="preserve">couches Bronze, Silver et Gold</w:t>
            </w:r>
          </w:p>
        </w:tc>
      </w:tr>
      <w:tr>
        <w:tc>
          <w:tcPr/>
          <w:p>
            <w:pPr>
              <w:pStyle w:val="Compact"/>
              <w:jc w:val="left"/>
            </w:pPr>
            <w:r>
              <w:t xml:space="preserve">Transformation</w:t>
            </w:r>
          </w:p>
        </w:tc>
        <w:tc>
          <w:tcPr/>
          <w:p>
            <w:pPr>
              <w:pStyle w:val="Compact"/>
              <w:jc w:val="left"/>
            </w:pPr>
            <w:r>
              <w:t xml:space="preserve">dbt</w:t>
            </w:r>
          </w:p>
        </w:tc>
        <w:tc>
          <w:tcPr/>
          <w:p>
            <w:pPr>
              <w:pStyle w:val="Compact"/>
              <w:jc w:val="left"/>
            </w:pPr>
            <w:r>
              <w:t xml:space="preserve">modèles Silver et Gold, tests</w:t>
            </w:r>
          </w:p>
        </w:tc>
      </w:tr>
      <w:tr>
        <w:tc>
          <w:tcPr/>
          <w:p>
            <w:pPr>
              <w:pStyle w:val="Compact"/>
              <w:jc w:val="left"/>
            </w:pPr>
            <w:r>
              <w:t xml:space="preserve">Orchestration</w:t>
            </w:r>
          </w:p>
        </w:tc>
        <w:tc>
          <w:tcPr/>
          <w:p>
            <w:pPr>
              <w:pStyle w:val="Compact"/>
              <w:jc w:val="left"/>
            </w:pPr>
            <w:r>
              <w:t xml:space="preserve">Dagster</w:t>
            </w:r>
          </w:p>
        </w:tc>
        <w:tc>
          <w:tcPr/>
          <w:p>
            <w:pPr>
              <w:pStyle w:val="Compact"/>
              <w:jc w:val="left"/>
            </w:pPr>
            <w:r>
              <w:t xml:space="preserve">enchaînement, lignage, planification</w:t>
            </w:r>
          </w:p>
        </w:tc>
      </w:tr>
      <w:tr>
        <w:tc>
          <w:tcPr/>
          <w:p>
            <w:pPr>
              <w:pStyle w:val="Compact"/>
              <w:jc w:val="left"/>
            </w:pPr>
            <w:r>
              <w:t xml:space="preserve">Génération SQL</w:t>
            </w:r>
          </w:p>
        </w:tc>
        <w:tc>
          <w:tcPr/>
          <w:p>
            <w:pPr>
              <w:pStyle w:val="Compact"/>
              <w:jc w:val="left"/>
            </w:pPr>
            <w:r>
              <w:t xml:space="preserve">Cortex / Ollama</w:t>
            </w:r>
          </w:p>
        </w:tc>
        <w:tc>
          <w:tcPr/>
          <w:p>
            <w:pPr>
              <w:pStyle w:val="Compact"/>
              <w:jc w:val="left"/>
            </w:pPr>
            <w:r>
              <w:t xml:space="preserve">traduction question → SQL</w:t>
            </w:r>
          </w:p>
        </w:tc>
      </w:tr>
      <w:tr>
        <w:tc>
          <w:tcPr/>
          <w:p>
            <w:pPr>
              <w:pStyle w:val="Compact"/>
              <w:jc w:val="left"/>
            </w:pPr>
            <w:r>
              <w:t xml:space="preserve">Restitution</w:t>
            </w:r>
          </w:p>
        </w:tc>
        <w:tc>
          <w:tcPr/>
          <w:p>
            <w:pPr>
              <w:pStyle w:val="Compact"/>
              <w:jc w:val="left"/>
            </w:pPr>
            <w:r>
              <w:t xml:space="preserve">Streamlit</w:t>
            </w:r>
          </w:p>
        </w:tc>
        <w:tc>
          <w:tcPr/>
          <w:p>
            <w:pPr>
              <w:pStyle w:val="Compact"/>
              <w:jc w:val="left"/>
            </w:pPr>
            <w:r>
              <w:t xml:space="preserve">application WWI Insight</w:t>
            </w:r>
          </w:p>
        </w:tc>
      </w:tr>
    </w:tbl>
    <w:bookmarkEnd w:id="25"/>
    <w:bookmarkEnd w:id="26"/>
    <w:bookmarkEnd w:id="27"/>
    <w:bookmarkStart w:id="37" w:name="données-et-conception"/>
    <w:p>
      <w:pPr>
        <w:pStyle w:val="Heading1"/>
      </w:pPr>
      <w:r>
        <w:rPr>
          <w:rStyle w:val="SectionNumber"/>
        </w:rPr>
        <w:t xml:space="preserve">2</w:t>
      </w:r>
      <w:r>
        <w:tab/>
      </w:r>
      <w:r>
        <w:t xml:space="preserve">Données et conception</w:t>
      </w:r>
    </w:p>
    <w:bookmarkStart w:id="28" w:name="le-jeu-de-données"/>
    <w:p>
      <w:pPr>
        <w:pStyle w:val="Heading2"/>
      </w:pPr>
      <w:r>
        <w:rPr>
          <w:rStyle w:val="SectionNumber"/>
        </w:rPr>
        <w:t xml:space="preserve">2.1</w:t>
      </w:r>
      <w:r>
        <w:tab/>
      </w:r>
      <w:r>
        <w:t xml:space="preserve">Le jeu de données</w:t>
      </w:r>
    </w:p>
    <w:p>
      <w:pPr>
        <w:pStyle w:val="FirstParagraph"/>
      </w:pPr>
      <w:r>
        <w:rPr>
          <w:iCs/>
          <w:i/>
        </w:rPr>
        <w:t xml:space="preserve">Wide World Importers</w:t>
      </w:r>
      <w:r>
        <w:t xml:space="preserve"> </w:t>
      </w:r>
      <w:r>
        <w:t xml:space="preserve">est une base d’exemple de Microsoft. Elle simule un grossiste qui vend des articles de nouveauté et d’emballage (adhésifs, papier bulle, figurines…) à des magasins aux États-Unis. Nous avons utilisé les schémas</w:t>
      </w:r>
      <w:r>
        <w:t xml:space="preserve"> </w:t>
      </w:r>
      <w:r>
        <w:rPr>
          <w:rStyle w:val="VerbatimChar"/>
        </w:rPr>
        <w:t xml:space="preserve">Sales</w:t>
      </w:r>
      <w:r>
        <w:t xml:space="preserve"> </w:t>
      </w:r>
      <w:r>
        <w:t xml:space="preserve">(clients, commandes, factures),</w:t>
      </w:r>
      <w:r>
        <w:t xml:space="preserve"> </w:t>
      </w:r>
      <w:r>
        <w:rPr>
          <w:rStyle w:val="VerbatimChar"/>
        </w:rPr>
        <w:t xml:space="preserve">Warehouse</w:t>
      </w:r>
      <w:r>
        <w:t xml:space="preserve"> </w:t>
      </w:r>
      <w:r>
        <w:t xml:space="preserve">(articles) et</w:t>
      </w:r>
      <w:r>
        <w:t xml:space="preserve"> </w:t>
      </w:r>
      <w:r>
        <w:rPr>
          <w:rStyle w:val="VerbatimChar"/>
        </w:rPr>
        <w:t xml:space="preserve">Application</w:t>
      </w:r>
      <w:r>
        <w:t xml:space="preserve"> </w:t>
      </w:r>
      <w:r>
        <w:t xml:space="preserve">(personnes et villes). Les commandes vont de janvier 2013 à mai 2016, soit 41 mois, avec 73 595 commandes et 231 412 lignes de commande pour 663 clients et 227 articles.</w:t>
      </w:r>
    </w:p>
    <w:p>
      <w:pPr>
        <w:pStyle w:val="BodyText"/>
      </w:pPr>
      <w:r>
        <w:t xml:space="preserve">Le sujet donne trois questions types : les dix meilleurs clients par chiffre d’affaires, le total des ventes par mois, et les produits qui génèrent le plus de bénéfice. Nous en avons ajouté quelques autres du même genre (CA par année, par vendeur, panier moyen…).</w:t>
      </w:r>
    </w:p>
    <w:p>
      <w:pPr>
        <w:pStyle w:val="BodyText"/>
      </w:pPr>
      <w:r>
        <w:t xml:space="preserve">La troisième question pose un petit problème : le bénéfice n’existe pas dans les commandes. On ne le trouve que dans les lignes de facture (</w:t>
      </w:r>
      <w:r>
        <w:rPr>
          <w:rStyle w:val="VerbatimChar"/>
        </w:rPr>
        <w:t xml:space="preserve">Sales.InvoiceLines.LineProfit</w:t>
      </w:r>
      <w:r>
        <w:t xml:space="preserve">). Le modèle a donc besoin de deux tables de faits.</w:t>
      </w:r>
    </w:p>
    <w:bookmarkEnd w:id="28"/>
    <w:bookmarkStart w:id="32" w:name="architecture"/>
    <w:p>
      <w:pPr>
        <w:pStyle w:val="Heading2"/>
      </w:pPr>
      <w:r>
        <w:rPr>
          <w:rStyle w:val="SectionNumber"/>
        </w:rPr>
        <w:t xml:space="preserve">2.2</w:t>
      </w:r>
      <w:r>
        <w:tab/>
      </w:r>
      <w:r>
        <w:t xml:space="preserve">Architecture</w:t>
      </w:r>
    </w:p>
    <w:p>
      <w:pPr>
        <w:pStyle w:val="CaptionedFigure"/>
      </w:pPr>
      <w:r>
        <w:drawing>
          <wp:inline>
            <wp:extent cx="5753100" cy="2493010"/>
            <wp:effectExtent b="0" l="0" r="0" t="0"/>
            <wp:docPr descr="Architecture de la plateforme" title="" id="30" name="Picture"/>
            <a:graphic>
              <a:graphicData uri="http://schemas.openxmlformats.org/drawingml/2006/picture">
                <pic:pic>
                  <pic:nvPicPr>
                    <pic:cNvPr descr="figures/architecture.png" id="31" name="Picture"/>
                    <pic:cNvPicPr>
                      <a:picLocks noChangeArrowheads="1" noChangeAspect="1"/>
                    </pic:cNvPicPr>
                  </pic:nvPicPr>
                  <pic:blipFill>
                    <a:blip r:embed="rId29"/>
                    <a:stretch>
                      <a:fillRect/>
                    </a:stretch>
                  </pic:blipFill>
                  <pic:spPr bwMode="auto">
                    <a:xfrm>
                      <a:off x="0" y="0"/>
                      <a:ext cx="5753100" cy="2493010"/>
                    </a:xfrm>
                    <a:prstGeom prst="rect">
                      <a:avLst/>
                    </a:prstGeom>
                    <a:noFill/>
                    <a:ln w="9525">
                      <a:noFill/>
                      <a:headEnd/>
                      <a:tailEnd/>
                    </a:ln>
                  </pic:spPr>
                </pic:pic>
              </a:graphicData>
            </a:graphic>
          </wp:inline>
        </w:drawing>
      </w:r>
    </w:p>
    <w:p>
      <w:pPr>
        <w:pStyle w:val="ImageCaption"/>
      </w:pPr>
      <w:r>
        <w:rPr>
          <w:bCs/>
          <w:b/>
        </w:rPr>
        <w:t xml:space="preserve">Figure 2.1</w:t>
      </w:r>
      <w:r>
        <w:t xml:space="preserve"> – Architecture de la plateforme</w:t>
      </w:r>
    </w:p>
    <w:p>
      <w:pPr>
        <w:pStyle w:val="BodyText"/>
      </w:pPr>
      <w:r>
        <w:t xml:space="preserve">La figure 2.1 résume l’architecture. DLT lit dix tables dans SQL Server et les écrit dans le schéma</w:t>
      </w:r>
      <w:r>
        <w:t xml:space="preserve"> </w:t>
      </w:r>
      <w:r>
        <w:rPr>
          <w:rStyle w:val="VerbatimChar"/>
        </w:rPr>
        <w:t xml:space="preserve">BRONZE</w:t>
      </w:r>
      <w:r>
        <w:t xml:space="preserve"> </w:t>
      </w:r>
      <w:r>
        <w:t xml:space="preserve">de Snowflake. dbt construit ensuite les vues</w:t>
      </w:r>
      <w:r>
        <w:t xml:space="preserve"> </w:t>
      </w:r>
      <w:r>
        <w:rPr>
          <w:rStyle w:val="VerbatimChar"/>
        </w:rPr>
        <w:t xml:space="preserve">SILVER</w:t>
      </w:r>
      <w:r>
        <w:t xml:space="preserve"> </w:t>
      </w:r>
      <w:r>
        <w:t xml:space="preserve">et les tables</w:t>
      </w:r>
      <w:r>
        <w:t xml:space="preserve"> </w:t>
      </w:r>
      <w:r>
        <w:rPr>
          <w:rStyle w:val="VerbatimChar"/>
        </w:rPr>
        <w:t xml:space="preserve">GOLD</w:t>
      </w:r>
      <w:r>
        <w:t xml:space="preserve">. Dagster lance les deux étapes l’une après l’autre. L’application ne lit que la couche Gold et passe par Cortex ou, à défaut, par Ollama pour générer le SQL.</w:t>
      </w:r>
    </w:p>
    <w:bookmarkEnd w:id="32"/>
    <w:bookmarkStart w:id="36" w:name="modèle-de-la-couche-gold"/>
    <w:p>
      <w:pPr>
        <w:pStyle w:val="Heading2"/>
      </w:pPr>
      <w:r>
        <w:rPr>
          <w:rStyle w:val="SectionNumber"/>
        </w:rPr>
        <w:t xml:space="preserve">2.3</w:t>
      </w:r>
      <w:r>
        <w:tab/>
      </w:r>
      <w:r>
        <w:t xml:space="preserve">Modèle de la couche Gold</w:t>
      </w:r>
    </w:p>
    <w:p>
      <w:pPr>
        <w:pStyle w:val="CaptionedFigure"/>
      </w:pPr>
      <w:r>
        <w:drawing>
          <wp:inline>
            <wp:extent cx="4890135" cy="2845169"/>
            <wp:effectExtent b="0" l="0" r="0" t="0"/>
            <wp:docPr descr="Schéma en étoile de la couche Gold" title="" id="34" name="Picture"/>
            <a:graphic>
              <a:graphicData uri="http://schemas.openxmlformats.org/drawingml/2006/picture">
                <pic:pic>
                  <pic:nvPicPr>
                    <pic:cNvPr descr="figures/etoile.png" id="35" name="Picture"/>
                    <pic:cNvPicPr>
                      <a:picLocks noChangeArrowheads="1" noChangeAspect="1"/>
                    </pic:cNvPicPr>
                  </pic:nvPicPr>
                  <pic:blipFill>
                    <a:blip r:embed="rId33"/>
                    <a:stretch>
                      <a:fillRect/>
                    </a:stretch>
                  </pic:blipFill>
                  <pic:spPr bwMode="auto">
                    <a:xfrm>
                      <a:off x="0" y="0"/>
                      <a:ext cx="4890135" cy="2845169"/>
                    </a:xfrm>
                    <a:prstGeom prst="rect">
                      <a:avLst/>
                    </a:prstGeom>
                    <a:noFill/>
                    <a:ln w="9525">
                      <a:noFill/>
                      <a:headEnd/>
                      <a:tailEnd/>
                    </a:ln>
                  </pic:spPr>
                </pic:pic>
              </a:graphicData>
            </a:graphic>
          </wp:inline>
        </w:drawing>
      </w:r>
    </w:p>
    <w:p>
      <w:pPr>
        <w:pStyle w:val="ImageCaption"/>
      </w:pPr>
      <w:r>
        <w:rPr>
          <w:bCs/>
          <w:b/>
        </w:rPr>
        <w:t xml:space="preserve">Figure 2.2</w:t>
      </w:r>
      <w:r>
        <w:t xml:space="preserve"> – Schéma en étoile de la couche Gold</w:t>
      </w:r>
    </w:p>
    <w:p>
      <w:pPr>
        <w:pStyle w:val="BodyText"/>
      </w:pPr>
      <w:r>
        <w:t xml:space="preserve">Le modèle (figure 2.2) a deux tables de faits :</w:t>
      </w:r>
    </w:p>
    <w:p>
      <w:pPr>
        <w:numPr>
          <w:ilvl w:val="0"/>
          <w:numId w:val="1001"/>
        </w:numPr>
        <w:pStyle w:val="Compact"/>
      </w:pPr>
      <w:r>
        <w:rPr>
          <w:rStyle w:val="VerbatimChar"/>
        </w:rPr>
        <w:t xml:space="preserve">fct_sales</w:t>
      </w:r>
      <w:r>
        <w:t xml:space="preserve">, une ligne par ligne de commande, avec la quantité, le prix et le chiffre d’affaires HT et TTC ;</w:t>
      </w:r>
    </w:p>
    <w:p>
      <w:pPr>
        <w:numPr>
          <w:ilvl w:val="0"/>
          <w:numId w:val="1001"/>
        </w:numPr>
        <w:pStyle w:val="Compact"/>
      </w:pPr>
      <w:r>
        <w:rPr>
          <w:rStyle w:val="VerbatimChar"/>
        </w:rPr>
        <w:t xml:space="preserve">fct_invoice_lines</w:t>
      </w:r>
      <w:r>
        <w:t xml:space="preserve">, une ligne par ligne de facture, avec le montant facturé et le bénéfice.</w:t>
      </w:r>
    </w:p>
    <w:p>
      <w:pPr>
        <w:pStyle w:val="FirstParagraph"/>
      </w:pPr>
      <w:r>
        <w:t xml:space="preserve">Elles partagent les dimensions</w:t>
      </w:r>
      <w:r>
        <w:t xml:space="preserve"> </w:t>
      </w:r>
      <w:r>
        <w:rPr>
          <w:rStyle w:val="VerbatimChar"/>
        </w:rPr>
        <w:t xml:space="preserve">dim_customers</w:t>
      </w:r>
      <w:r>
        <w:t xml:space="preserve">,</w:t>
      </w:r>
      <w:r>
        <w:t xml:space="preserve"> </w:t>
      </w:r>
      <w:r>
        <w:rPr>
          <w:rStyle w:val="VerbatimChar"/>
        </w:rPr>
        <w:t xml:space="preserve">dim_products</w:t>
      </w:r>
      <w:r>
        <w:t xml:space="preserve"> </w:t>
      </w:r>
      <w:r>
        <w:t xml:space="preserve">et</w:t>
      </w:r>
      <w:r>
        <w:t xml:space="preserve"> </w:t>
      </w:r>
      <w:r>
        <w:rPr>
          <w:rStyle w:val="VerbatimChar"/>
        </w:rPr>
        <w:t xml:space="preserve">dim_salespeople</w:t>
      </w:r>
      <w:r>
        <w:t xml:space="preserve">, plus une dimension</w:t>
      </w:r>
      <w:r>
        <w:t xml:space="preserve"> </w:t>
      </w:r>
      <w:r>
        <w:rPr>
          <w:rStyle w:val="VerbatimChar"/>
        </w:rPr>
        <w:t xml:space="preserve">dim_date</w:t>
      </w:r>
      <w:r>
        <w:t xml:space="preserve"> </w:t>
      </w:r>
      <w:r>
        <w:t xml:space="preserve">qui contient chaque jour de 2013 à 2016. Nous avons fixé le chiffre d’affaires comme</w:t>
      </w:r>
      <w:r>
        <w:t xml:space="preserve"> </w:t>
      </w:r>
      <w:r>
        <w:rPr>
          <w:rStyle w:val="VerbatimChar"/>
        </w:rPr>
        <w:t xml:space="preserve">quantity × unit_price</w:t>
      </w:r>
      <w:r>
        <w:t xml:space="preserve"> </w:t>
      </w:r>
      <w:r>
        <w:t xml:space="preserve">hors taxes, et cette définition est reprise à la fois dans la documentation dbt et dans la consigne envoyée au modèle de langage.</w:t>
      </w:r>
    </w:p>
    <w:p>
      <w:pPr>
        <w:pStyle w:val="BodyText"/>
      </w:pPr>
      <w:r>
        <w:t xml:space="preserve">Le choix entre DuckDB (développement) et Snowflake (production) se fait seulement par variables d’environnement :</w:t>
      </w:r>
      <w:r>
        <w:t xml:space="preserve"> </w:t>
      </w:r>
      <w:r>
        <w:rPr>
          <w:rStyle w:val="VerbatimChar"/>
        </w:rPr>
        <w:t xml:space="preserve">DLT_DESTINATION</w:t>
      </w:r>
      <w:r>
        <w:t xml:space="preserve"> </w:t>
      </w:r>
      <w:r>
        <w:t xml:space="preserve">pour DLT et</w:t>
      </w:r>
      <w:r>
        <w:t xml:space="preserve"> </w:t>
      </w:r>
      <w:r>
        <w:rPr>
          <w:rStyle w:val="VerbatimChar"/>
        </w:rPr>
        <w:t xml:space="preserve">DBT_TARGET</w:t>
      </w:r>
      <w:r>
        <w:t xml:space="preserve"> </w:t>
      </w:r>
      <w:r>
        <w:t xml:space="preserve">pour dbt.</w:t>
      </w:r>
    </w:p>
    <w:bookmarkEnd w:id="36"/>
    <w:bookmarkEnd w:id="37"/>
    <w:bookmarkStart w:id="73" w:name="mise-en-œuvre"/>
    <w:p>
      <w:pPr>
        <w:pStyle w:val="Heading1"/>
      </w:pPr>
      <w:r>
        <w:rPr>
          <w:rStyle w:val="SectionNumber"/>
        </w:rPr>
        <w:t xml:space="preserve">3</w:t>
      </w:r>
      <w:r>
        <w:tab/>
      </w:r>
      <w:r>
        <w:t xml:space="preserve">Mise en œuvre</w:t>
      </w:r>
    </w:p>
    <w:p>
      <w:pPr>
        <w:pStyle w:val="FirstParagraph"/>
      </w:pPr>
      <w:r>
        <w:t xml:space="preserve">Le projet a été créé avec</w:t>
      </w:r>
      <w:r>
        <w:t xml:space="preserve"> </w:t>
      </w:r>
      <w:r>
        <w:rPr>
          <w:rStyle w:val="VerbatimChar"/>
        </w:rPr>
        <w:t xml:space="preserve">create-dagster</w:t>
      </w:r>
      <w:r>
        <w:t xml:space="preserve">, puis les dépendances ont été ajoutées avec</w:t>
      </w:r>
      <w:r>
        <w:t xml:space="preserve"> </w:t>
      </w:r>
      <w:r>
        <w:rPr>
          <w:rStyle w:val="VerbatimChar"/>
        </w:rPr>
        <w:t xml:space="preserve">uv add</w:t>
      </w:r>
      <w:r>
        <w:t xml:space="preserve"> </w:t>
      </w:r>
      <w:r>
        <w:t xml:space="preserve">(DLT, dagster-dlt, dagster-dbt, dbt-snowflake, Streamlit…). Le composant d’ingestion a été généré avec</w:t>
      </w:r>
      <w:r>
        <w:t xml:space="preserve"> </w:t>
      </w:r>
      <w:r>
        <w:rPr>
          <w:rStyle w:val="VerbatimChar"/>
        </w:rPr>
        <w:t xml:space="preserve">dg scaffold defs dagster_dlt.DltLoadCollectionComponent mssql_ingestion</w:t>
      </w:r>
      <w:r>
        <w:t xml:space="preserve">, et le projet dbt est placé dans</w:t>
      </w:r>
      <w:r>
        <w:t xml:space="preserve"> </w:t>
      </w:r>
      <w:r>
        <w:rPr>
          <w:rStyle w:val="VerbatimChar"/>
        </w:rPr>
        <w:t xml:space="preserve">defs/transform</w:t>
      </w:r>
      <w:r>
        <w:t xml:space="preserve">.</w:t>
      </w:r>
    </w:p>
    <w:bookmarkStart w:id="42" w:name="ingestion-avec-dlt"/>
    <w:p>
      <w:pPr>
        <w:pStyle w:val="Heading2"/>
      </w:pPr>
      <w:r>
        <w:rPr>
          <w:rStyle w:val="SectionNumber"/>
        </w:rPr>
        <w:t xml:space="preserve">3.1</w:t>
      </w:r>
      <w:r>
        <w:tab/>
      </w:r>
      <w:r>
        <w:t xml:space="preserve">Ingestion avec DLT</w:t>
      </w:r>
    </w:p>
    <w:p>
      <w:pPr>
        <w:pStyle w:val="FirstParagraph"/>
      </w:pPr>
      <w:r>
        <w:t xml:space="preserve">Chaque table est déclarée dans</w:t>
      </w:r>
      <w:r>
        <w:t xml:space="preserve"> </w:t>
      </w:r>
      <w:r>
        <w:rPr>
          <w:rStyle w:val="VerbatimChar"/>
        </w:rPr>
        <w:t xml:space="preserve">loads.py</w:t>
      </w:r>
      <w:r>
        <w:t xml:space="preserve"> </w:t>
      </w:r>
      <w:r>
        <w:t xml:space="preserve">comme une ressource de la source</w:t>
      </w:r>
      <w:r>
        <w:t xml:space="preserve"> </w:t>
      </w:r>
      <w:r>
        <w:rPr>
          <w:rStyle w:val="VerbatimChar"/>
        </w:rPr>
        <w:t xml:space="preserve">wwi</w:t>
      </w:r>
      <w:r>
        <w:t xml:space="preserve">. Voici les deux premières, les autres suivent le même modèle :</w:t>
      </w:r>
    </w:p>
    <w:p>
      <w:pPr>
        <w:pStyle w:val="BodyText"/>
      </w:pPr>
      <w:r>
        <w:rPr>
          <w:bCs/>
          <w:b/>
        </w:rPr>
        <w:t xml:space="preserve">Code 3.1</w:t>
      </w:r>
      <w:r>
        <w:t xml:space="preserve"> – Source DLT (defs/mssql_ingestion/loads.py)</w:t>
      </w:r>
    </w:p>
    <w:bookmarkStart w:id="38" w:name="code:dlt"/>
    <w:p>
      <w:pPr>
        <w:pStyle w:val="SourceCode"/>
      </w:pP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dlt.source(name</w:t>
      </w:r>
      <w:r>
        <w:rPr>
          <w:rStyle w:val="OperatorTok"/>
        </w:rPr>
        <w:t xml:space="preserve">=</w:t>
      </w:r>
      <w:r>
        <w:rPr>
          <w:rStyle w:val="StringTok"/>
        </w:rPr>
        <w:t xml:space="preserve">"wwi"</w:t>
      </w:r>
      <w:r>
        <w:rPr>
          <w:rStyle w:val="NormalTok"/>
        </w:rPr>
        <w:t xml:space="preserve">)</w:t>
      </w:r>
      <w:r>
        <w:br/>
      </w:r>
      <w:r>
        <w:rPr>
          <w:rStyle w:val="NormalTok"/>
        </w:rPr>
        <w:t xml:space="preserve"> </w:t>
      </w:r>
      <w:r>
        <w:rPr>
          <w:rStyle w:val="DecValTok"/>
        </w:rPr>
        <w:t xml:space="preserve">2</w:t>
      </w:r>
      <w:r>
        <w:rPr>
          <w:rStyle w:val="NormalTok"/>
        </w:rPr>
        <w:t xml:space="preserve">  </w:t>
      </w:r>
      <w:r>
        <w:rPr>
          <w:rStyle w:val="KeywordTok"/>
        </w:rPr>
        <w:t xml:space="preserve">def</w:t>
      </w:r>
      <w:r>
        <w:rPr>
          <w:rStyle w:val="NormalTok"/>
        </w:rPr>
        <w:t xml:space="preserve"> wwi_source():</w:t>
      </w:r>
      <w:r>
        <w:br/>
      </w:r>
      <w:r>
        <w:rPr>
          <w:rStyle w:val="NormalTok"/>
        </w:rPr>
        <w:t xml:space="preserve"> </w:t>
      </w:r>
      <w:r>
        <w:rPr>
          <w:rStyle w:val="DecValTok"/>
        </w:rPr>
        <w:t xml:space="preserve">3</w:t>
      </w:r>
      <w:r>
        <w:rPr>
          <w:rStyle w:val="NormalTok"/>
        </w:rPr>
        <w:t xml:space="preserve">      </w:t>
      </w:r>
      <w:r>
        <w:rPr>
          <w:rStyle w:val="ControlFlowTok"/>
        </w:rPr>
        <w:t xml:space="preserve">yield</w:t>
      </w:r>
      <w:r>
        <w:rPr>
          <w:rStyle w:val="NormalTok"/>
        </w:rPr>
        <w:t xml:space="preserve"> sql_table(</w:t>
      </w:r>
      <w:r>
        <w:br/>
      </w:r>
      <w:r>
        <w:rPr>
          <w:rStyle w:val="NormalTok"/>
        </w:rPr>
        <w:t xml:space="preserve"> </w:t>
      </w:r>
      <w:r>
        <w:rPr>
          <w:rStyle w:val="DecValTok"/>
        </w:rPr>
        <w:t xml:space="preserve">4</w:t>
      </w:r>
      <w:r>
        <w:rPr>
          <w:rStyle w:val="NormalTok"/>
        </w:rPr>
        <w:t xml:space="preserve">          credentials</w:t>
      </w:r>
      <w:r>
        <w:rPr>
          <w:rStyle w:val="OperatorTok"/>
        </w:rPr>
        <w:t xml:space="preserve">=</w:t>
      </w:r>
      <w:r>
        <w:rPr>
          <w:rStyle w:val="NormalTok"/>
        </w:rPr>
        <w:t xml:space="preserve">credentials, schema</w:t>
      </w:r>
      <w:r>
        <w:rPr>
          <w:rStyle w:val="OperatorTok"/>
        </w:rPr>
        <w:t xml:space="preserve">=</w:t>
      </w:r>
      <w:r>
        <w:rPr>
          <w:rStyle w:val="StringTok"/>
        </w:rPr>
        <w:t xml:space="preserve">"Sales"</w:t>
      </w:r>
      <w:r>
        <w:rPr>
          <w:rStyle w:val="NormalTok"/>
        </w:rPr>
        <w:t xml:space="preserve">, table</w:t>
      </w:r>
      <w:r>
        <w:rPr>
          <w:rStyle w:val="OperatorTok"/>
        </w:rPr>
        <w:t xml:space="preserve">=</w:t>
      </w:r>
      <w:r>
        <w:rPr>
          <w:rStyle w:val="StringTok"/>
        </w:rPr>
        <w:t xml:space="preserve">"Customers"</w:t>
      </w:r>
      <w:r>
        <w:rPr>
          <w:rStyle w:val="NormalTok"/>
        </w:rPr>
        <w:t xml:space="preserve">,</w:t>
      </w:r>
      <w:r>
        <w:br/>
      </w:r>
      <w:r>
        <w:rPr>
          <w:rStyle w:val="NormalTok"/>
        </w:rPr>
        <w:t xml:space="preserve"> </w:t>
      </w:r>
      <w:r>
        <w:rPr>
          <w:rStyle w:val="DecValTok"/>
        </w:rPr>
        <w:t xml:space="preserve">5</w:t>
      </w:r>
      <w:r>
        <w:rPr>
          <w:rStyle w:val="NormalTok"/>
        </w:rPr>
        <w:t xml:space="preserve">          write_disposition</w:t>
      </w:r>
      <w:r>
        <w:rPr>
          <w:rStyle w:val="OperatorTok"/>
        </w:rPr>
        <w:t xml:space="preserve">=</w:t>
      </w:r>
      <w:r>
        <w:rPr>
          <w:rStyle w:val="StringTok"/>
        </w:rPr>
        <w:t xml:space="preserve">"replace"</w:t>
      </w:r>
      <w:r>
        <w:rPr>
          <w:rStyle w:val="NormalTok"/>
        </w:rPr>
        <w:t xml:space="preserve">,</w:t>
      </w:r>
      <w:r>
        <w:br/>
      </w:r>
      <w:r>
        <w:rPr>
          <w:rStyle w:val="NormalTok"/>
        </w:rPr>
        <w:t xml:space="preserve"> </w:t>
      </w:r>
      <w:r>
        <w:rPr>
          <w:rStyle w:val="DecValTok"/>
        </w:rPr>
        <w:t xml:space="preserve">6</w:t>
      </w:r>
      <w:r>
        <w:rPr>
          <w:rStyle w:val="NormalTok"/>
        </w:rPr>
        <w:t xml:space="preserve">          excluded_columns</w:t>
      </w:r>
      <w:r>
        <w:rPr>
          <w:rStyle w:val="OperatorTok"/>
        </w:rPr>
        <w:t xml:space="preserve">=</w:t>
      </w:r>
      <w:r>
        <w:rPr>
          <w:rStyle w:val="NormalTok"/>
        </w:rPr>
        <w:t xml:space="preserve">[</w:t>
      </w:r>
      <w:r>
        <w:rPr>
          <w:rStyle w:val="StringTok"/>
        </w:rPr>
        <w:t xml:space="preserve">"DeliveryLocation"</w:t>
      </w:r>
      <w:r>
        <w:rPr>
          <w:rStyle w:val="NormalTok"/>
        </w:rPr>
        <w:t xml:space="preserve">],</w:t>
      </w:r>
      <w:r>
        <w:br/>
      </w:r>
      <w:r>
        <w:rPr>
          <w:rStyle w:val="NormalTok"/>
        </w:rPr>
        <w:t xml:space="preserve"> </w:t>
      </w:r>
      <w:r>
        <w:rPr>
          <w:rStyle w:val="DecValTok"/>
        </w:rPr>
        <w:t xml:space="preserve">7</w:t>
      </w:r>
      <w:r>
        <w:rPr>
          <w:rStyle w:val="NormalTok"/>
        </w:rPr>
        <w:t xml:space="preserve">      )</w:t>
      </w:r>
      <w:r>
        <w:br/>
      </w:r>
      <w:r>
        <w:rPr>
          <w:rStyle w:val="NormalTok"/>
        </w:rPr>
        <w:t xml:space="preserve"> </w:t>
      </w:r>
      <w:r>
        <w:rPr>
          <w:rStyle w:val="DecValTok"/>
        </w:rPr>
        <w:t xml:space="preserve">8</w:t>
      </w:r>
      <w:r>
        <w:rPr>
          <w:rStyle w:val="NormalTok"/>
        </w:rPr>
        <w:t xml:space="preserve">      </w:t>
      </w:r>
      <w:r>
        <w:rPr>
          <w:rStyle w:val="ControlFlowTok"/>
        </w:rPr>
        <w:t xml:space="preserve">yield</w:t>
      </w:r>
      <w:r>
        <w:rPr>
          <w:rStyle w:val="NormalTok"/>
        </w:rPr>
        <w:t xml:space="preserve"> sql_table(</w:t>
      </w:r>
      <w:r>
        <w:br/>
      </w:r>
      <w:r>
        <w:rPr>
          <w:rStyle w:val="NormalTok"/>
        </w:rPr>
        <w:t xml:space="preserve"> </w:t>
      </w:r>
      <w:r>
        <w:rPr>
          <w:rStyle w:val="DecValTok"/>
        </w:rPr>
        <w:t xml:space="preserve">9</w:t>
      </w:r>
      <w:r>
        <w:rPr>
          <w:rStyle w:val="NormalTok"/>
        </w:rPr>
        <w:t xml:space="preserve">          credentials</w:t>
      </w:r>
      <w:r>
        <w:rPr>
          <w:rStyle w:val="OperatorTok"/>
        </w:rPr>
        <w:t xml:space="preserve">=</w:t>
      </w:r>
      <w:r>
        <w:rPr>
          <w:rStyle w:val="NormalTok"/>
        </w:rPr>
        <w:t xml:space="preserve">credentials, schema</w:t>
      </w:r>
      <w:r>
        <w:rPr>
          <w:rStyle w:val="OperatorTok"/>
        </w:rPr>
        <w:t xml:space="preserve">=</w:t>
      </w:r>
      <w:r>
        <w:rPr>
          <w:rStyle w:val="StringTok"/>
        </w:rPr>
        <w:t xml:space="preserve">"Sales"</w:t>
      </w:r>
      <w:r>
        <w:rPr>
          <w:rStyle w:val="NormalTok"/>
        </w:rPr>
        <w:t xml:space="preserve">, table</w:t>
      </w:r>
      <w:r>
        <w:rPr>
          <w:rStyle w:val="OperatorTok"/>
        </w:rPr>
        <w:t xml:space="preserve">=</w:t>
      </w:r>
      <w:r>
        <w:rPr>
          <w:rStyle w:val="StringTok"/>
        </w:rPr>
        <w:t xml:space="preserve">"Orders"</w:t>
      </w:r>
      <w:r>
        <w:rPr>
          <w:rStyle w:val="NormalTok"/>
        </w:rPr>
        <w:t xml:space="preserve">,</w:t>
      </w:r>
      <w:r>
        <w:br/>
      </w:r>
      <w:r>
        <w:rPr>
          <w:rStyle w:val="DecValTok"/>
        </w:rPr>
        <w:t xml:space="preserve">10</w:t>
      </w:r>
      <w:r>
        <w:rPr>
          <w:rStyle w:val="NormalTok"/>
        </w:rPr>
        <w:t xml:space="preserve">          write_disposition</w:t>
      </w:r>
      <w:r>
        <w:rPr>
          <w:rStyle w:val="OperatorTok"/>
        </w:rPr>
        <w:t xml:space="preserve">=</w:t>
      </w:r>
      <w:r>
        <w:rPr>
          <w:rStyle w:val="StringTok"/>
        </w:rPr>
        <w:t xml:space="preserve">"merge"</w:t>
      </w:r>
      <w:r>
        <w:rPr>
          <w:rStyle w:val="NormalTok"/>
        </w:rPr>
        <w:t xml:space="preserve">, primary_key</w:t>
      </w:r>
      <w:r>
        <w:rPr>
          <w:rStyle w:val="OperatorTok"/>
        </w:rPr>
        <w:t xml:space="preserve">=</w:t>
      </w:r>
      <w:r>
        <w:rPr>
          <w:rStyle w:val="StringTok"/>
        </w:rPr>
        <w:t xml:space="preserve">"OrderID"</w:t>
      </w:r>
      <w:r>
        <w:rPr>
          <w:rStyle w:val="NormalTok"/>
        </w:rPr>
        <w:t xml:space="preserve">,</w:t>
      </w:r>
      <w:r>
        <w:br/>
      </w:r>
      <w:r>
        <w:rPr>
          <w:rStyle w:val="DecValTok"/>
        </w:rPr>
        <w:t xml:space="preserve">11</w:t>
      </w:r>
      <w:r>
        <w:rPr>
          <w:rStyle w:val="NormalTok"/>
        </w:rPr>
        <w:t xml:space="preserve">          incremental</w:t>
      </w:r>
      <w:r>
        <w:rPr>
          <w:rStyle w:val="OperatorTok"/>
        </w:rPr>
        <w:t xml:space="preserve">=</w:t>
      </w:r>
      <w:r>
        <w:rPr>
          <w:rStyle w:val="NormalTok"/>
        </w:rPr>
        <w:t xml:space="preserve">dlt.sources.incremental(</w:t>
      </w:r>
      <w:r>
        <w:rPr>
          <w:rStyle w:val="StringTok"/>
        </w:rPr>
        <w:t xml:space="preserve">"LastEditedWhen"</w:t>
      </w:r>
      <w:r>
        <w:rPr>
          <w:rStyle w:val="NormalTok"/>
        </w:rPr>
        <w:t xml:space="preserve">),</w:t>
      </w:r>
      <w:r>
        <w:br/>
      </w:r>
      <w:r>
        <w:rPr>
          <w:rStyle w:val="DecValTok"/>
        </w:rPr>
        <w:t xml:space="preserve">12</w:t>
      </w:r>
      <w:r>
        <w:rPr>
          <w:rStyle w:val="NormalTok"/>
        </w:rPr>
        <w:t xml:space="preserve">      )</w:t>
      </w:r>
    </w:p>
    <w:bookmarkEnd w:id="38"/>
    <w:p>
      <w:pPr>
        <w:pStyle w:val="FirstParagraph"/>
      </w:pPr>
      <w:r>
        <w:t xml:space="preserve">Les petites tables de référence sont rechargées entièrement (</w:t>
      </w:r>
      <w:r>
        <w:rPr>
          <w:rStyle w:val="VerbatimChar"/>
        </w:rPr>
        <w:t xml:space="preserve">replace</w:t>
      </w:r>
      <w:r>
        <w:t xml:space="preserve">). Pour les commandes, les factures et leurs lignes, le chargement est incrémental : DLT retient la dernière valeur de</w:t>
      </w:r>
      <w:r>
        <w:t xml:space="preserve"> </w:t>
      </w:r>
      <w:r>
        <w:rPr>
          <w:rStyle w:val="VerbatimChar"/>
        </w:rPr>
        <w:t xml:space="preserve">LastEditedWhen</w:t>
      </w:r>
      <w:r>
        <w:t xml:space="preserve"> </w:t>
      </w:r>
      <w:r>
        <w:t xml:space="preserve">et ne relit ensuite que les lignes modifiées, et</w:t>
      </w:r>
      <w:r>
        <w:t xml:space="preserve"> </w:t>
      </w:r>
      <w:r>
        <w:rPr>
          <w:rStyle w:val="VerbatimChar"/>
        </w:rPr>
        <w:t xml:space="preserve">merge</w:t>
      </w:r>
      <w:r>
        <w:t xml:space="preserve"> </w:t>
      </w:r>
      <w:r>
        <w:t xml:space="preserve">évite les doublons grâce à la clé primaire. Les colonnes de type</w:t>
      </w:r>
      <w:r>
        <w:t xml:space="preserve"> </w:t>
      </w:r>
      <w:r>
        <w:rPr>
          <w:rStyle w:val="VerbatimChar"/>
        </w:rPr>
        <w:t xml:space="preserve">geography</w:t>
      </w:r>
      <w:r>
        <w:t xml:space="preserve"> </w:t>
      </w:r>
      <w:r>
        <w:t xml:space="preserve">(comme</w:t>
      </w:r>
      <w:r>
        <w:t xml:space="preserve"> </w:t>
      </w:r>
      <w:r>
        <w:rPr>
          <w:rStyle w:val="VerbatimChar"/>
        </w:rPr>
        <w:t xml:space="preserve">DeliveryLocation</w:t>
      </w:r>
      <w:r>
        <w:t xml:space="preserve">) sont exclues parce que DLT ne sait pas les convertir ; au début elles provoquaient des avertissements à chaque chargement. Les identifiants SQL Server sont dans</w:t>
      </w:r>
      <w:r>
        <w:t xml:space="preserve"> </w:t>
      </w:r>
      <w:r>
        <w:rPr>
          <w:rStyle w:val="VerbatimChar"/>
        </w:rPr>
        <w:t xml:space="preserve">.dlt/secrets.toml</w:t>
      </w:r>
      <w:r>
        <w:t xml:space="preserve">, qui n’est pas versionné.</w:t>
      </w:r>
    </w:p>
    <w:p>
      <w:pPr>
        <w:pStyle w:val="BodyText"/>
      </w:pPr>
      <w:r>
        <w:t xml:space="preserve">Un point qui nous a fait perdre du temps : DLT renomme les tables et les colonnes en snake_case (</w:t>
      </w:r>
      <w:r>
        <w:rPr>
          <w:rStyle w:val="VerbatimChar"/>
        </w:rPr>
        <w:t xml:space="preserve">OrderLines</w:t>
      </w:r>
      <w:r>
        <w:t xml:space="preserve"> </w:t>
      </w:r>
      <w:r>
        <w:t xml:space="preserve">devient</w:t>
      </w:r>
      <w:r>
        <w:t xml:space="preserve"> </w:t>
      </w:r>
      <w:r>
        <w:rPr>
          <w:rStyle w:val="VerbatimChar"/>
        </w:rPr>
        <w:t xml:space="preserve">order_lines</w:t>
      </w:r>
      <w:r>
        <w:t xml:space="preserve">,</w:t>
      </w:r>
      <w:r>
        <w:t xml:space="preserve"> </w:t>
      </w:r>
      <w:r>
        <w:rPr>
          <w:rStyle w:val="VerbatimChar"/>
        </w:rPr>
        <w:t xml:space="preserve">CustomerID</w:t>
      </w:r>
      <w:r>
        <w:t xml:space="preserve"> </w:t>
      </w:r>
      <w:r>
        <w:t xml:space="preserve">devient</w:t>
      </w:r>
      <w:r>
        <w:t xml:space="preserve"> </w:t>
      </w:r>
      <w:r>
        <w:rPr>
          <w:rStyle w:val="VerbatimChar"/>
        </w:rPr>
        <w:t xml:space="preserve">customer_id</w:t>
      </w:r>
      <w:r>
        <w:t xml:space="preserve">). Nos premiers modèles dbt utilisaient les noms d’origine et ne trouvaient pas les tables. Dans les sources dbt, nous avons donc gardé le nom SQL Server comme nom logique et ajouté le vrai nom avec</w:t>
      </w:r>
      <w:r>
        <w:t xml:space="preserve"> </w:t>
      </w:r>
      <w:r>
        <w:rPr>
          <w:rStyle w:val="VerbatimChar"/>
        </w:rPr>
        <w:t xml:space="preserve">identifier</w:t>
      </w:r>
      <w:r>
        <w:t xml:space="preserve">. Cela permet aussi à Dagster de relier automatiquement les actifs DLT aux modèles dbt.</w:t>
      </w:r>
    </w:p>
    <w:p>
      <w:pPr>
        <w:pStyle w:val="CaptionedFigure"/>
      </w:pPr>
      <w:r>
        <w:drawing>
          <wp:inline>
            <wp:extent cx="5753100" cy="3421248"/>
            <wp:effectExtent b="0" l="0" r="0" t="0"/>
            <wp:docPr descr="Étape DLT dans Dagster lors du run sur Snowflake (4 min 33 s)" title="" id="40" name="Picture"/>
            <a:graphic>
              <a:graphicData uri="http://schemas.openxmlformats.org/drawingml/2006/picture">
                <pic:pic>
                  <pic:nvPicPr>
                    <pic:cNvPr descr="../../captures/Capture14.png" id="41" name="Picture"/>
                    <pic:cNvPicPr>
                      <a:picLocks noChangeArrowheads="1" noChangeAspect="1"/>
                    </pic:cNvPicPr>
                  </pic:nvPicPr>
                  <pic:blipFill>
                    <a:blip r:embed="rId39"/>
                    <a:stretch>
                      <a:fillRect/>
                    </a:stretch>
                  </pic:blipFill>
                  <pic:spPr bwMode="auto">
                    <a:xfrm>
                      <a:off x="0" y="0"/>
                      <a:ext cx="5753100" cy="3421248"/>
                    </a:xfrm>
                    <a:prstGeom prst="rect">
                      <a:avLst/>
                    </a:prstGeom>
                    <a:noFill/>
                    <a:ln w="9525">
                      <a:noFill/>
                      <a:headEnd/>
                      <a:tailEnd/>
                    </a:ln>
                  </pic:spPr>
                </pic:pic>
              </a:graphicData>
            </a:graphic>
          </wp:inline>
        </w:drawing>
      </w:r>
    </w:p>
    <w:p>
      <w:pPr>
        <w:pStyle w:val="ImageCaption"/>
      </w:pPr>
      <w:r>
        <w:rPr>
          <w:bCs/>
          <w:b/>
        </w:rPr>
        <w:t xml:space="preserve">Figure 3.1</w:t>
      </w:r>
      <w:r>
        <w:t xml:space="preserve"> – Étape DLT dans Dagster lors du run sur Snowflake (4 min 33 s)</w:t>
      </w:r>
    </w:p>
    <w:bookmarkEnd w:id="42"/>
    <w:bookmarkStart w:id="48" w:name="transformations-avec-dbt"/>
    <w:p>
      <w:pPr>
        <w:pStyle w:val="Heading2"/>
      </w:pPr>
      <w:r>
        <w:rPr>
          <w:rStyle w:val="SectionNumber"/>
        </w:rPr>
        <w:t xml:space="preserve">3.2</w:t>
      </w:r>
      <w:r>
        <w:tab/>
      </w:r>
      <w:r>
        <w:t xml:space="preserve">Transformations avec dbt</w:t>
      </w:r>
    </w:p>
    <w:p>
      <w:pPr>
        <w:pStyle w:val="FirstParagraph"/>
      </w:pPr>
      <w:r>
        <w:t xml:space="preserve">La couche Silver contient sept vues</w:t>
      </w:r>
      <w:r>
        <w:t xml:space="preserve"> </w:t>
      </w:r>
      <w:r>
        <w:rPr>
          <w:rStyle w:val="VerbatimChar"/>
        </w:rPr>
        <w:t xml:space="preserve">stg_*</w:t>
      </w:r>
      <w:r>
        <w:t xml:space="preserve"> </w:t>
      </w:r>
      <w:r>
        <w:t xml:space="preserve">qui renomment et typent les colonnes. Par exemple,</w:t>
      </w:r>
      <w:r>
        <w:t xml:space="preserve"> </w:t>
      </w:r>
      <w:r>
        <w:rPr>
          <w:rStyle w:val="VerbatimChar"/>
        </w:rPr>
        <w:t xml:space="preserve">stg_invoice_lines</w:t>
      </w:r>
      <w:r>
        <w:t xml:space="preserve"> </w:t>
      </w:r>
      <w:r>
        <w:t xml:space="preserve">joint les lignes de facture à leur en-tête pour récupérer la date et le client. La couche Gold contient les quatre dimensions et les deux tables de faits. Les dossiers</w:t>
      </w:r>
      <w:r>
        <w:t xml:space="preserve"> </w:t>
      </w:r>
      <w:r>
        <w:rPr>
          <w:rStyle w:val="VerbatimChar"/>
        </w:rPr>
        <w:t xml:space="preserve">staging</w:t>
      </w:r>
      <w:r>
        <w:t xml:space="preserve"> </w:t>
      </w:r>
      <w:r>
        <w:t xml:space="preserve">et</w:t>
      </w:r>
      <w:r>
        <w:t xml:space="preserve"> </w:t>
      </w:r>
      <w:r>
        <w:rPr>
          <w:rStyle w:val="VerbatimChar"/>
        </w:rPr>
        <w:t xml:space="preserve">marts</w:t>
      </w:r>
      <w:r>
        <w:t xml:space="preserve"> </w:t>
      </w:r>
      <w:r>
        <w:t xml:space="preserve">sont envoyés dans les schémas</w:t>
      </w:r>
      <w:r>
        <w:t xml:space="preserve"> </w:t>
      </w:r>
      <w:r>
        <w:rPr>
          <w:rStyle w:val="VerbatimChar"/>
        </w:rPr>
        <w:t xml:space="preserve">silver</w:t>
      </w:r>
      <w:r>
        <w:t xml:space="preserve"> </w:t>
      </w:r>
      <w:r>
        <w:t xml:space="preserve">et</w:t>
      </w:r>
      <w:r>
        <w:t xml:space="preserve"> </w:t>
      </w:r>
      <w:r>
        <w:rPr>
          <w:rStyle w:val="VerbatimChar"/>
        </w:rPr>
        <w:t xml:space="preserve">gold</w:t>
      </w:r>
      <w:r>
        <w:t xml:space="preserve"> </w:t>
      </w:r>
      <w:r>
        <w:t xml:space="preserve">; il a fallu surcharger la macro</w:t>
      </w:r>
      <w:r>
        <w:t xml:space="preserve"> </w:t>
      </w:r>
      <w:r>
        <w:rPr>
          <w:rStyle w:val="VerbatimChar"/>
        </w:rPr>
        <w:t xml:space="preserve">generate_schema_name</w:t>
      </w:r>
      <w:r>
        <w:t xml:space="preserve">, sinon dbt crée des schémas nommés</w:t>
      </w:r>
      <w:r>
        <w:t xml:space="preserve"> </w:t>
      </w:r>
      <w:r>
        <w:rPr>
          <w:rStyle w:val="VerbatimChar"/>
        </w:rPr>
        <w:t xml:space="preserve">SILVER_SILVER</w:t>
      </w:r>
      <w:r>
        <w:t xml:space="preserve"> </w:t>
      </w:r>
      <w:r>
        <w:t xml:space="preserve">et</w:t>
      </w:r>
      <w:r>
        <w:t xml:space="preserve"> </w:t>
      </w:r>
      <w:r>
        <w:rPr>
          <w:rStyle w:val="VerbatimChar"/>
        </w:rPr>
        <w:t xml:space="preserve">SILVER_GOLD</w:t>
      </w:r>
      <w:r>
        <w:t xml:space="preserve">.</w:t>
      </w:r>
    </w:p>
    <w:p>
      <w:pPr>
        <w:pStyle w:val="BodyText"/>
      </w:pPr>
      <w:r>
        <w:rPr>
          <w:bCs/>
          <w:b/>
        </w:rPr>
        <w:t xml:space="preserve">Code 3.2</w:t>
      </w:r>
      <w:r>
        <w:t xml:space="preserve"> – Table de faits des ventes (models/marts/fct_sales.sql)</w:t>
      </w:r>
    </w:p>
    <w:bookmarkStart w:id="43" w:name="code:fct"/>
    <w:p>
      <w:pPr>
        <w:pStyle w:val="SourceCode"/>
      </w:pPr>
      <w:r>
        <w:rPr>
          <w:rStyle w:val="NormalTok"/>
        </w:rPr>
        <w:t xml:space="preserve"> </w:t>
      </w:r>
      <w:r>
        <w:rPr>
          <w:rStyle w:val="DecValTok"/>
        </w:rPr>
        <w:t xml:space="preserve">1</w:t>
      </w:r>
      <w:r>
        <w:rPr>
          <w:rStyle w:val="NormalTok"/>
        </w:rPr>
        <w:t xml:space="preserve">  </w:t>
      </w:r>
      <w:r>
        <w:rPr>
          <w:rStyle w:val="KeywordTok"/>
        </w:rPr>
        <w:t xml:space="preserve">select</w:t>
      </w:r>
      <w:r>
        <w:br/>
      </w:r>
      <w:r>
        <w:rPr>
          <w:rStyle w:val="NormalTok"/>
        </w:rPr>
        <w:t xml:space="preserve"> </w:t>
      </w:r>
      <w:r>
        <w:rPr>
          <w:rStyle w:val="DecValTok"/>
        </w:rPr>
        <w:t xml:space="preserve">2</w:t>
      </w:r>
      <w:r>
        <w:rPr>
          <w:rStyle w:val="NormalTok"/>
        </w:rPr>
        <w:t xml:space="preserve">      ol.order_line_id,</w:t>
      </w:r>
      <w:r>
        <w:br/>
      </w:r>
      <w:r>
        <w:rPr>
          <w:rStyle w:val="NormalTok"/>
        </w:rPr>
        <w:t xml:space="preserve"> </w:t>
      </w:r>
      <w:r>
        <w:rPr>
          <w:rStyle w:val="DecValTok"/>
        </w:rPr>
        <w:t xml:space="preserve">3</w:t>
      </w:r>
      <w:r>
        <w:rPr>
          <w:rStyle w:val="NormalTok"/>
        </w:rPr>
        <w:t xml:space="preserve">      o.order_id,</w:t>
      </w:r>
      <w:r>
        <w:br/>
      </w:r>
      <w:r>
        <w:rPr>
          <w:rStyle w:val="NormalTok"/>
        </w:rPr>
        <w:t xml:space="preserve"> </w:t>
      </w:r>
      <w:r>
        <w:rPr>
          <w:rStyle w:val="DecValTok"/>
        </w:rPr>
        <w:t xml:space="preserve">4</w:t>
      </w:r>
      <w:r>
        <w:rPr>
          <w:rStyle w:val="NormalTok"/>
        </w:rPr>
        <w:t xml:space="preserve">      o.order_date,</w:t>
      </w:r>
      <w:r>
        <w:br/>
      </w:r>
      <w:r>
        <w:rPr>
          <w:rStyle w:val="NormalTok"/>
        </w:rPr>
        <w:t xml:space="preserve"> </w:t>
      </w:r>
      <w:r>
        <w:rPr>
          <w:rStyle w:val="DecValTok"/>
        </w:rPr>
        <w:t xml:space="preserve">5</w:t>
      </w:r>
      <w:r>
        <w:rPr>
          <w:rStyle w:val="NormalTok"/>
        </w:rPr>
        <w:t xml:space="preserve">      o.customer_id,</w:t>
      </w:r>
      <w:r>
        <w:br/>
      </w:r>
      <w:r>
        <w:rPr>
          <w:rStyle w:val="NormalTok"/>
        </w:rPr>
        <w:t xml:space="preserve"> </w:t>
      </w:r>
      <w:r>
        <w:rPr>
          <w:rStyle w:val="DecValTok"/>
        </w:rPr>
        <w:t xml:space="preserve">6</w:t>
      </w:r>
      <w:r>
        <w:rPr>
          <w:rStyle w:val="NormalTok"/>
        </w:rPr>
        <w:t xml:space="preserve">      o.salesperson_person_id     </w:t>
      </w:r>
      <w:r>
        <w:rPr>
          <w:rStyle w:val="KeywordTok"/>
        </w:rPr>
        <w:t xml:space="preserve">as</w:t>
      </w:r>
      <w:r>
        <w:rPr>
          <w:rStyle w:val="NormalTok"/>
        </w:rPr>
        <w:t xml:space="preserve"> salesperson_id,</w:t>
      </w:r>
      <w:r>
        <w:br/>
      </w:r>
      <w:r>
        <w:rPr>
          <w:rStyle w:val="NormalTok"/>
        </w:rPr>
        <w:t xml:space="preserve"> </w:t>
      </w:r>
      <w:r>
        <w:rPr>
          <w:rStyle w:val="DecValTok"/>
        </w:rPr>
        <w:t xml:space="preserve">7</w:t>
      </w:r>
      <w:r>
        <w:rPr>
          <w:rStyle w:val="NormalTok"/>
        </w:rPr>
        <w:t xml:space="preserve">      ol.stock_item_id            </w:t>
      </w:r>
      <w:r>
        <w:rPr>
          <w:rStyle w:val="KeywordTok"/>
        </w:rPr>
        <w:t xml:space="preserve">as</w:t>
      </w:r>
      <w:r>
        <w:rPr>
          <w:rStyle w:val="NormalTok"/>
        </w:rPr>
        <w:t xml:space="preserve"> product_id,</w:t>
      </w:r>
      <w:r>
        <w:br/>
      </w:r>
      <w:r>
        <w:rPr>
          <w:rStyle w:val="NormalTok"/>
        </w:rPr>
        <w:t xml:space="preserve"> </w:t>
      </w:r>
      <w:r>
        <w:rPr>
          <w:rStyle w:val="DecValTok"/>
        </w:rPr>
        <w:t xml:space="preserve">8</w:t>
      </w:r>
      <w:r>
        <w:rPr>
          <w:rStyle w:val="NormalTok"/>
        </w:rPr>
        <w:t xml:space="preserve">      ol.quantity,</w:t>
      </w:r>
      <w:r>
        <w:br/>
      </w:r>
      <w:r>
        <w:rPr>
          <w:rStyle w:val="NormalTok"/>
        </w:rPr>
        <w:t xml:space="preserve"> </w:t>
      </w:r>
      <w:r>
        <w:rPr>
          <w:rStyle w:val="DecValTok"/>
        </w:rPr>
        <w:t xml:space="preserve">9</w:t>
      </w:r>
      <w:r>
        <w:rPr>
          <w:rStyle w:val="NormalTok"/>
        </w:rPr>
        <w:t xml:space="preserve">      ol.unit_price,</w:t>
      </w:r>
      <w:r>
        <w:br/>
      </w:r>
      <w:r>
        <w:rPr>
          <w:rStyle w:val="DecValTok"/>
        </w:rPr>
        <w:t xml:space="preserve">10</w:t>
      </w:r>
      <w:r>
        <w:rPr>
          <w:rStyle w:val="NormalTok"/>
        </w:rPr>
        <w:t xml:space="preserve">      ol.quantity </w:t>
      </w:r>
      <w:r>
        <w:rPr>
          <w:rStyle w:val="OperatorTok"/>
        </w:rPr>
        <w:t xml:space="preserve">*</w:t>
      </w:r>
      <w:r>
        <w:rPr>
          <w:rStyle w:val="NormalTok"/>
        </w:rPr>
        <w:t xml:space="preserve"> ol.unit_price </w:t>
      </w:r>
      <w:r>
        <w:rPr>
          <w:rStyle w:val="KeywordTok"/>
        </w:rPr>
        <w:t xml:space="preserve">as</w:t>
      </w:r>
      <w:r>
        <w:rPr>
          <w:rStyle w:val="NormalTok"/>
        </w:rPr>
        <w:t xml:space="preserve"> sales_amount_excl_tax,</w:t>
      </w:r>
      <w:r>
        <w:br/>
      </w:r>
      <w:r>
        <w:rPr>
          <w:rStyle w:val="DecValTok"/>
        </w:rPr>
        <w:t xml:space="preserve">11</w:t>
      </w:r>
      <w:r>
        <w:rPr>
          <w:rStyle w:val="NormalTok"/>
        </w:rPr>
        <w:t xml:space="preserve">      ol.quantity </w:t>
      </w:r>
      <w:r>
        <w:rPr>
          <w:rStyle w:val="OperatorTok"/>
        </w:rPr>
        <w:t xml:space="preserve">*</w:t>
      </w:r>
      <w:r>
        <w:rPr>
          <w:rStyle w:val="NormalTok"/>
        </w:rPr>
        <w:t xml:space="preserve"> ol.unit_price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ol.tax_rate </w:t>
      </w:r>
      <w:r>
        <w:rPr>
          <w:rStyle w:val="OperatorTok"/>
        </w:rPr>
        <w:t xml:space="preserve">/</w:t>
      </w:r>
      <w:r>
        <w:rPr>
          <w:rStyle w:val="NormalTok"/>
        </w:rPr>
        <w:t xml:space="preserve"> </w:t>
      </w:r>
      <w:r>
        <w:rPr>
          <w:rStyle w:val="DecValTok"/>
        </w:rPr>
        <w:t xml:space="preserve">100</w:t>
      </w:r>
      <w:r>
        <w:rPr>
          <w:rStyle w:val="NormalTok"/>
        </w:rPr>
        <w:t xml:space="preserve">) </w:t>
      </w:r>
      <w:r>
        <w:rPr>
          <w:rStyle w:val="KeywordTok"/>
        </w:rPr>
        <w:t xml:space="preserve">as</w:t>
      </w:r>
      <w:r>
        <w:rPr>
          <w:rStyle w:val="NormalTok"/>
        </w:rPr>
        <w:t xml:space="preserve"> sales_amount_incl_tax</w:t>
      </w:r>
      <w:r>
        <w:br/>
      </w:r>
      <w:r>
        <w:rPr>
          <w:rStyle w:val="DecValTok"/>
        </w:rPr>
        <w:t xml:space="preserve">12</w:t>
      </w:r>
      <w:r>
        <w:rPr>
          <w:rStyle w:val="NormalTok"/>
        </w:rPr>
        <w:t xml:space="preserve">  </w:t>
      </w:r>
      <w:r>
        <w:rPr>
          <w:rStyle w:val="KeywordTok"/>
        </w:rPr>
        <w:t xml:space="preserve">from</w:t>
      </w:r>
      <w:r>
        <w:rPr>
          <w:rStyle w:val="NormalTok"/>
        </w:rPr>
        <w:t xml:space="preserve"> {{ </w:t>
      </w:r>
      <w:r>
        <w:rPr>
          <w:rStyle w:val="FunctionTok"/>
        </w:rPr>
        <w:t xml:space="preserve">ref</w:t>
      </w:r>
      <w:r>
        <w:rPr>
          <w:rStyle w:val="NormalTok"/>
        </w:rPr>
        <w:t xml:space="preserve">(</w:t>
      </w:r>
      <w:r>
        <w:rPr>
          <w:rStyle w:val="StringTok"/>
        </w:rPr>
        <w:t xml:space="preserve">'stg_order_lines'</w:t>
      </w:r>
      <w:r>
        <w:rPr>
          <w:rStyle w:val="NormalTok"/>
        </w:rPr>
        <w:t xml:space="preserve">) }} ol</w:t>
      </w:r>
      <w:r>
        <w:br/>
      </w:r>
      <w:r>
        <w:rPr>
          <w:rStyle w:val="DecValTok"/>
        </w:rPr>
        <w:t xml:space="preserve">13</w:t>
      </w:r>
      <w:r>
        <w:rPr>
          <w:rStyle w:val="NormalTok"/>
        </w:rPr>
        <w:t xml:space="preserve">  </w:t>
      </w:r>
      <w:r>
        <w:rPr>
          <w:rStyle w:val="KeywordTok"/>
        </w:rPr>
        <w:t xml:space="preserve">join</w:t>
      </w:r>
      <w:r>
        <w:rPr>
          <w:rStyle w:val="NormalTok"/>
        </w:rPr>
        <w:t xml:space="preserve"> {{ </w:t>
      </w:r>
      <w:r>
        <w:rPr>
          <w:rStyle w:val="FunctionTok"/>
        </w:rPr>
        <w:t xml:space="preserve">ref</w:t>
      </w:r>
      <w:r>
        <w:rPr>
          <w:rStyle w:val="NormalTok"/>
        </w:rPr>
        <w:t xml:space="preserve">(</w:t>
      </w:r>
      <w:r>
        <w:rPr>
          <w:rStyle w:val="StringTok"/>
        </w:rPr>
        <w:t xml:space="preserve">'stg_orders'</w:t>
      </w:r>
      <w:r>
        <w:rPr>
          <w:rStyle w:val="NormalTok"/>
        </w:rPr>
        <w:t xml:space="preserve">) }} o </w:t>
      </w:r>
      <w:r>
        <w:rPr>
          <w:rStyle w:val="KeywordTok"/>
        </w:rPr>
        <w:t xml:space="preserve">on</w:t>
      </w:r>
      <w:r>
        <w:rPr>
          <w:rStyle w:val="NormalTok"/>
        </w:rPr>
        <w:t xml:space="preserve"> ol.order_id </w:t>
      </w:r>
      <w:r>
        <w:rPr>
          <w:rStyle w:val="OperatorTok"/>
        </w:rPr>
        <w:t xml:space="preserve">=</w:t>
      </w:r>
      <w:r>
        <w:rPr>
          <w:rStyle w:val="NormalTok"/>
        </w:rPr>
        <w:t xml:space="preserve"> o.order_id</w:t>
      </w:r>
    </w:p>
    <w:bookmarkEnd w:id="43"/>
    <w:p>
      <w:pPr>
        <w:pStyle w:val="FirstParagraph"/>
      </w:pPr>
      <w:r>
        <w:t xml:space="preserve">Le chiffre d’affaires HT et TTC est calculé une seule fois ici (lignes 10 et 11), donc aucune requête de l’application n’a à le recalculer. Les clés sont renommées (</w:t>
      </w:r>
      <w:r>
        <w:rPr>
          <w:rStyle w:val="VerbatimChar"/>
        </w:rPr>
        <w:t xml:space="preserve">product_id</w:t>
      </w:r>
      <w:r>
        <w:t xml:space="preserve">,</w:t>
      </w:r>
      <w:r>
        <w:t xml:space="preserve"> </w:t>
      </w:r>
      <w:r>
        <w:rPr>
          <w:rStyle w:val="VerbatimChar"/>
        </w:rPr>
        <w:t xml:space="preserve">salesperson_id</w:t>
      </w:r>
      <w:r>
        <w:t xml:space="preserve">) pour avoir le même nom que dans les dimensions, ce qui simplifie les jointures que le modèle de langage doit écrire.</w:t>
      </w:r>
    </w:p>
    <w:p>
      <w:pPr>
        <w:pStyle w:val="BodyText"/>
      </w:pPr>
      <w:r>
        <w:t xml:space="preserve">Les tests sont déclarés dans les fichiers YAML de documentation :</w:t>
      </w:r>
    </w:p>
    <w:p>
      <w:pPr>
        <w:pStyle w:val="BodyText"/>
      </w:pPr>
      <w:r>
        <w:rPr>
          <w:bCs/>
          <w:b/>
        </w:rPr>
        <w:t xml:space="preserve">Code 3.3</w:t>
      </w:r>
      <w:r>
        <w:t xml:space="preserve"> – Extrait des tests de fct_sales (models/marts/_marts.yml)</w:t>
      </w:r>
    </w:p>
    <w:bookmarkStart w:id="44" w:name="code:tests"/>
    <w:p>
      <w:pPr>
        <w:pStyle w:val="SourceCode"/>
      </w:pPr>
      <w:r>
        <w:rPr>
          <w:rStyle w:val="FunctionTok"/>
        </w:rPr>
        <w:t xml:space="preserve">1    - name</w:t>
      </w:r>
      <w:r>
        <w:rPr>
          <w:rStyle w:val="KeywordTok"/>
        </w:rPr>
        <w:t xml:space="preserve">:</w:t>
      </w:r>
      <w:r>
        <w:rPr>
          <w:rStyle w:val="AttributeTok"/>
        </w:rPr>
        <w:t xml:space="preserve"> fct_sales</w:t>
      </w:r>
      <w:r>
        <w:br/>
      </w:r>
      <w:r>
        <w:rPr>
          <w:rStyle w:val="FunctionTok"/>
        </w:rPr>
        <w:t xml:space="preserve">2      columns</w:t>
      </w:r>
      <w:r>
        <w:rPr>
          <w:rStyle w:val="KeywordTok"/>
        </w:rPr>
        <w:t xml:space="preserve">:</w:t>
      </w:r>
      <w:r>
        <w:br/>
      </w:r>
      <w:r>
        <w:rPr>
          <w:rStyle w:val="FunctionTok"/>
        </w:rPr>
        <w:t xml:space="preserve">3        - name</w:t>
      </w:r>
      <w:r>
        <w:rPr>
          <w:rStyle w:val="KeywordTok"/>
        </w:rPr>
        <w:t xml:space="preserve">:</w:t>
      </w:r>
      <w:r>
        <w:rPr>
          <w:rStyle w:val="AttributeTok"/>
        </w:rPr>
        <w:t xml:space="preserve"> order_line_id</w:t>
      </w:r>
      <w:r>
        <w:br/>
      </w:r>
      <w:r>
        <w:rPr>
          <w:rStyle w:val="FunctionTok"/>
        </w:rPr>
        <w:t xml:space="preserve">4          data_tests</w:t>
      </w:r>
      <w:r>
        <w:rPr>
          <w:rStyle w:val="KeywordTok"/>
        </w:rPr>
        <w:t xml:space="preserve">:</w:t>
      </w:r>
      <w:r>
        <w:rPr>
          <w:rStyle w:val="AttributeTok"/>
        </w:rPr>
        <w:t xml:space="preserve"> </w:t>
      </w:r>
      <w:r>
        <w:rPr>
          <w:rStyle w:val="KeywordTok"/>
        </w:rPr>
        <w:t xml:space="preserve">[</w:t>
      </w:r>
      <w:r>
        <w:rPr>
          <w:rStyle w:val="AttributeTok"/>
        </w:rPr>
        <w:t xml:space="preserve">unique</w:t>
      </w:r>
      <w:r>
        <w:rPr>
          <w:rStyle w:val="KeywordTok"/>
        </w:rPr>
        <w:t xml:space="preserve">,</w:t>
      </w:r>
      <w:r>
        <w:rPr>
          <w:rStyle w:val="AttributeTok"/>
        </w:rPr>
        <w:t xml:space="preserve"> not_</w:t>
      </w:r>
      <w:r>
        <w:rPr>
          <w:rStyle w:val="CharTok"/>
        </w:rPr>
        <w:t xml:space="preserve">null</w:t>
      </w:r>
      <w:r>
        <w:rPr>
          <w:rStyle w:val="KeywordTok"/>
        </w:rPr>
        <w:t xml:space="preserve">]</w:t>
      </w:r>
      <w:r>
        <w:br/>
      </w:r>
      <w:r>
        <w:rPr>
          <w:rStyle w:val="FunctionTok"/>
        </w:rPr>
        <w:t xml:space="preserve">5        - name</w:t>
      </w:r>
      <w:r>
        <w:rPr>
          <w:rStyle w:val="KeywordTok"/>
        </w:rPr>
        <w:t xml:space="preserve">:</w:t>
      </w:r>
      <w:r>
        <w:rPr>
          <w:rStyle w:val="AttributeTok"/>
        </w:rPr>
        <w:t xml:space="preserve"> product_id</w:t>
      </w:r>
      <w:r>
        <w:br/>
      </w:r>
      <w:r>
        <w:rPr>
          <w:rStyle w:val="FunctionTok"/>
        </w:rPr>
        <w:t xml:space="preserve">6          data_tests</w:t>
      </w:r>
      <w:r>
        <w:rPr>
          <w:rStyle w:val="KeywordTok"/>
        </w:rPr>
        <w:t xml:space="preserve">:</w:t>
      </w:r>
      <w:r>
        <w:br/>
      </w:r>
      <w:r>
        <w:rPr>
          <w:rStyle w:val="FunctionTok"/>
        </w:rPr>
        <w:t xml:space="preserve">7            - relationships</w:t>
      </w:r>
      <w:r>
        <w:rPr>
          <w:rStyle w:val="KeywordTok"/>
        </w:rPr>
        <w:t xml:space="preserve">:</w:t>
      </w:r>
      <w:r>
        <w:br/>
      </w:r>
      <w:r>
        <w:rPr>
          <w:rStyle w:val="FunctionTok"/>
        </w:rPr>
        <w:t xml:space="preserve">8                arguments</w:t>
      </w:r>
      <w:r>
        <w:rPr>
          <w:rStyle w:val="KeywordTok"/>
        </w:rPr>
        <w:t xml:space="preserve">:</w:t>
      </w:r>
      <w:r>
        <w:rPr>
          <w:rStyle w:val="AttributeTok"/>
        </w:rPr>
        <w:t xml:space="preserve"> </w:t>
      </w:r>
      <w:r>
        <w:rPr>
          <w:rStyle w:val="KeywordTok"/>
        </w:rPr>
        <w:t xml:space="preserve">{</w:t>
      </w:r>
      <w:r>
        <w:rPr>
          <w:rStyle w:val="FunctionTok"/>
        </w:rPr>
        <w:t xml:space="preserve">to</w:t>
      </w:r>
      <w:r>
        <w:rPr>
          <w:rStyle w:val="KeywordTok"/>
        </w:rPr>
        <w:t xml:space="preserve">:</w:t>
      </w:r>
      <w:r>
        <w:rPr>
          <w:rStyle w:val="AttributeTok"/>
        </w:rPr>
        <w:t xml:space="preserve"> ref('dim_products')</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product_id</w:t>
      </w:r>
      <w:r>
        <w:rPr>
          <w:rStyle w:val="KeywordTok"/>
        </w:rPr>
        <w:t xml:space="preserve">}</w:t>
      </w:r>
    </w:p>
    <w:bookmarkEnd w:id="44"/>
    <w:p>
      <w:pPr>
        <w:pStyle w:val="FirstParagraph"/>
      </w:pPr>
      <w:r>
        <w:t xml:space="preserve">Le test</w:t>
      </w:r>
      <w:r>
        <w:t xml:space="preserve"> </w:t>
      </w:r>
      <w:r>
        <w:rPr>
          <w:rStyle w:val="VerbatimChar"/>
        </w:rPr>
        <w:t xml:space="preserve">unique</w:t>
      </w:r>
      <w:r>
        <w:t xml:space="preserve"> </w:t>
      </w:r>
      <w:r>
        <w:t xml:space="preserve">sur la clé vérifie qu’aucune jointure n’a dupliqué de lignes, et</w:t>
      </w:r>
      <w:r>
        <w:t xml:space="preserve"> </w:t>
      </w:r>
      <w:r>
        <w:rPr>
          <w:rStyle w:val="VerbatimChar"/>
        </w:rPr>
        <w:t xml:space="preserve">relationships</w:t>
      </w:r>
      <w:r>
        <w:t xml:space="preserve"> </w:t>
      </w:r>
      <w:r>
        <w:t xml:space="preserve">vérifie que chaque vente pointe vers un produit qui existe. Il y a dix-huit tests au total.</w:t>
      </w:r>
      <w:r>
        <w:t xml:space="preserve"> </w:t>
      </w:r>
      <w:r>
        <w:rPr>
          <w:rStyle w:val="VerbatimChar"/>
        </w:rPr>
        <w:t xml:space="preserve">dbt build</w:t>
      </w:r>
      <w:r>
        <w:t xml:space="preserve"> </w:t>
      </w:r>
      <w:r>
        <w:t xml:space="preserve">exécute les 13 modèles et les tests dans l’ordre (31 nœuds).</w:t>
      </w:r>
    </w:p>
    <w:p>
      <w:pPr>
        <w:pStyle w:val="CaptionedFigure"/>
      </w:pPr>
      <w:r>
        <w:drawing>
          <wp:inline>
            <wp:extent cx="5753100" cy="3595687"/>
            <wp:effectExtent b="0" l="0" r="0" t="0"/>
            <wp:docPr descr="Lignage dbt, des sources Bronze aux tables Gold" title="" id="46" name="Picture"/>
            <a:graphic>
              <a:graphicData uri="http://schemas.openxmlformats.org/drawingml/2006/picture">
                <pic:pic>
                  <pic:nvPicPr>
                    <pic:cNvPr descr="figures/dbt_lineage.png" id="47" name="Picture"/>
                    <pic:cNvPicPr>
                      <a:picLocks noChangeArrowheads="1" noChangeAspect="1"/>
                    </pic:cNvPicPr>
                  </pic:nvPicPr>
                  <pic:blipFill>
                    <a:blip r:embed="rId45"/>
                    <a:stretch>
                      <a:fillRect/>
                    </a:stretch>
                  </pic:blipFill>
                  <pic:spPr bwMode="auto">
                    <a:xfrm>
                      <a:off x="0" y="0"/>
                      <a:ext cx="5753100" cy="3595687"/>
                    </a:xfrm>
                    <a:prstGeom prst="rect">
                      <a:avLst/>
                    </a:prstGeom>
                    <a:noFill/>
                    <a:ln w="9525">
                      <a:noFill/>
                      <a:headEnd/>
                      <a:tailEnd/>
                    </a:ln>
                  </pic:spPr>
                </pic:pic>
              </a:graphicData>
            </a:graphic>
          </wp:inline>
        </w:drawing>
      </w:r>
    </w:p>
    <w:p>
      <w:pPr>
        <w:pStyle w:val="ImageCaption"/>
      </w:pPr>
      <w:r>
        <w:rPr>
          <w:bCs/>
          <w:b/>
        </w:rPr>
        <w:t xml:space="preserve">Figure 3.2</w:t>
      </w:r>
      <w:r>
        <w:t xml:space="preserve"> – Lignage dbt, des sources Bronze aux tables Gold</w:t>
      </w:r>
    </w:p>
    <w:bookmarkEnd w:id="48"/>
    <w:bookmarkStart w:id="53" w:name="orchestration-avec-dagster"/>
    <w:p>
      <w:pPr>
        <w:pStyle w:val="Heading2"/>
      </w:pPr>
      <w:r>
        <w:rPr>
          <w:rStyle w:val="SectionNumber"/>
        </w:rPr>
        <w:t xml:space="preserve">3.3</w:t>
      </w:r>
      <w:r>
        <w:tab/>
      </w:r>
      <w:r>
        <w:t xml:space="preserve">Orchestration avec Dagster</w:t>
      </w:r>
    </w:p>
    <w:p>
      <w:pPr>
        <w:pStyle w:val="FirstParagraph"/>
      </w:pPr>
      <w:r>
        <w:t xml:space="preserve">Les deux composants sont déclarés dans des fichiers</w:t>
      </w:r>
      <w:r>
        <w:t xml:space="preserve"> </w:t>
      </w:r>
      <w:r>
        <w:rPr>
          <w:rStyle w:val="VerbatimChar"/>
        </w:rPr>
        <w:t xml:space="preserve">defs.yaml</w:t>
      </w:r>
      <w:r>
        <w:t xml:space="preserve">. Pour dbt, il suffit d’indiquer le dossier du projet et la commande</w:t>
      </w:r>
      <w:r>
        <w:t xml:space="preserve"> </w:t>
      </w:r>
      <w:r>
        <w:rPr>
          <w:rStyle w:val="VerbatimChar"/>
        </w:rPr>
        <w:t xml:space="preserve">build</w:t>
      </w:r>
      <w:r>
        <w:t xml:space="preserve">. Au début, notre fichier s’appelait</w:t>
      </w:r>
      <w:r>
        <w:t xml:space="preserve"> </w:t>
      </w:r>
      <w:r>
        <w:rPr>
          <w:rStyle w:val="VerbatimChar"/>
        </w:rPr>
        <w:t xml:space="preserve">defs.yml</w:t>
      </w:r>
      <w:r>
        <w:t xml:space="preserve"> </w:t>
      </w:r>
      <w:r>
        <w:t xml:space="preserve">: Dagster l’ignorait sans afficher d’erreur et l’étape dbt n’apparaissait pas. C’est</w:t>
      </w:r>
      <w:r>
        <w:t xml:space="preserve"> </w:t>
      </w:r>
      <w:r>
        <w:rPr>
          <w:rStyle w:val="VerbatimChar"/>
        </w:rPr>
        <w:t xml:space="preserve">dg list defs</w:t>
      </w:r>
      <w:r>
        <w:t xml:space="preserve"> </w:t>
      </w:r>
      <w:r>
        <w:t xml:space="preserve">qui nous a permis de voir ce qui était vraiment chargé.</w:t>
      </w:r>
    </w:p>
    <w:p>
      <w:pPr>
        <w:pStyle w:val="BodyText"/>
      </w:pPr>
      <w:r>
        <w:rPr>
          <w:bCs/>
          <w:b/>
        </w:rPr>
        <w:t xml:space="preserve">Code 3.4</w:t>
      </w:r>
      <w:r>
        <w:t xml:space="preserve"> – Job et planification (defs/schedules.py)</w:t>
      </w:r>
    </w:p>
    <w:bookmarkStart w:id="49" w:name="code:schedule"/>
    <w:p>
      <w:pPr>
        <w:pStyle w:val="SourceCode"/>
      </w:pPr>
      <w:r>
        <w:rPr>
          <w:rStyle w:val="DecValTok"/>
        </w:rPr>
        <w:t xml:space="preserve">1</w:t>
      </w:r>
      <w:r>
        <w:rPr>
          <w:rStyle w:val="NormalTok"/>
        </w:rPr>
        <w:t xml:space="preserve">  pipeline_complet </w:t>
      </w:r>
      <w:r>
        <w:rPr>
          <w:rStyle w:val="OperatorTok"/>
        </w:rPr>
        <w:t xml:space="preserve">=</w:t>
      </w:r>
      <w:r>
        <w:rPr>
          <w:rStyle w:val="NormalTok"/>
        </w:rPr>
        <w:t xml:space="preserve"> dg.define_asset_job(name</w:t>
      </w:r>
      <w:r>
        <w:rPr>
          <w:rStyle w:val="OperatorTok"/>
        </w:rPr>
        <w:t xml:space="preserve">=</w:t>
      </w:r>
      <w:r>
        <w:rPr>
          <w:rStyle w:val="StringTok"/>
        </w:rPr>
        <w:t xml:space="preserve">"pipeline_complet"</w:t>
      </w:r>
      <w:r>
        <w:rPr>
          <w:rStyle w:val="NormalTok"/>
        </w:rPr>
        <w:t xml:space="preserve">, selection</w:t>
      </w:r>
      <w:r>
        <w:rPr>
          <w:rStyle w:val="OperatorTok"/>
        </w:rPr>
        <w:t xml:space="preserve">=</w:t>
      </w:r>
      <w:r>
        <w:rPr>
          <w:rStyle w:val="StringTok"/>
        </w:rPr>
        <w:t xml:space="preserve">"*"</w:t>
      </w:r>
      <w:r>
        <w:rPr>
          <w:rStyle w:val="NormalTok"/>
        </w:rPr>
        <w:t xml:space="preserve">)</w:t>
      </w:r>
      <w:r>
        <w:br/>
      </w:r>
      <w:r>
        <w:rPr>
          <w:rStyle w:val="DecValTok"/>
        </w:rPr>
        <w:t xml:space="preserve">2</w:t>
      </w:r>
      <w:r>
        <w:rPr>
          <w:rStyle w:val="NormalTok"/>
        </w:rPr>
        <w:t xml:space="preserve">  </w:t>
      </w:r>
      <w:r>
        <w:br/>
      </w:r>
      <w:r>
        <w:rPr>
          <w:rStyle w:val="DecValTok"/>
        </w:rPr>
        <w:t xml:space="preserve">3</w:t>
      </w:r>
      <w:r>
        <w:rPr>
          <w:rStyle w:val="NormalTok"/>
        </w:rPr>
        <w:t xml:space="preserve">  schedule_quotidien </w:t>
      </w:r>
      <w:r>
        <w:rPr>
          <w:rStyle w:val="OperatorTok"/>
        </w:rPr>
        <w:t xml:space="preserve">=</w:t>
      </w:r>
      <w:r>
        <w:rPr>
          <w:rStyle w:val="NormalTok"/>
        </w:rPr>
        <w:t xml:space="preserve"> dg.ScheduleDefinition(</w:t>
      </w:r>
      <w:r>
        <w:br/>
      </w:r>
      <w:r>
        <w:rPr>
          <w:rStyle w:val="DecValTok"/>
        </w:rPr>
        <w:t xml:space="preserve">4</w:t>
      </w:r>
      <w:r>
        <w:rPr>
          <w:rStyle w:val="NormalTok"/>
        </w:rPr>
        <w:t xml:space="preserve">      job</w:t>
      </w:r>
      <w:r>
        <w:rPr>
          <w:rStyle w:val="OperatorTok"/>
        </w:rPr>
        <w:t xml:space="preserve">=</w:t>
      </w:r>
      <w:r>
        <w:rPr>
          <w:rStyle w:val="NormalTok"/>
        </w:rPr>
        <w:t xml:space="preserve">pipeline_complet,</w:t>
      </w:r>
      <w:r>
        <w:br/>
      </w:r>
      <w:r>
        <w:rPr>
          <w:rStyle w:val="DecValTok"/>
        </w:rPr>
        <w:t xml:space="preserve">5</w:t>
      </w:r>
      <w:r>
        <w:rPr>
          <w:rStyle w:val="NormalTok"/>
        </w:rPr>
        <w:t xml:space="preserve">      cron_schedule</w:t>
      </w:r>
      <w:r>
        <w:rPr>
          <w:rStyle w:val="OperatorTok"/>
        </w:rPr>
        <w:t xml:space="preserve">=</w:t>
      </w:r>
      <w:r>
        <w:rPr>
          <w:rStyle w:val="StringTok"/>
        </w:rPr>
        <w:t xml:space="preserve">"0 2 * * *"</w:t>
      </w:r>
      <w:r>
        <w:rPr>
          <w:rStyle w:val="NormalTok"/>
        </w:rPr>
        <w:t xml:space="preserve">,</w:t>
      </w:r>
      <w:r>
        <w:br/>
      </w:r>
      <w:r>
        <w:rPr>
          <w:rStyle w:val="DecValTok"/>
        </w:rPr>
        <w:t xml:space="preserve">6</w:t>
      </w:r>
      <w:r>
        <w:rPr>
          <w:rStyle w:val="NormalTok"/>
        </w:rPr>
        <w:t xml:space="preserve">      execution_timezone</w:t>
      </w:r>
      <w:r>
        <w:rPr>
          <w:rStyle w:val="OperatorTok"/>
        </w:rPr>
        <w:t xml:space="preserve">=</w:t>
      </w:r>
      <w:r>
        <w:rPr>
          <w:rStyle w:val="StringTok"/>
        </w:rPr>
        <w:t xml:space="preserve">"Africa/Dakar"</w:t>
      </w:r>
      <w:r>
        <w:rPr>
          <w:rStyle w:val="NormalTok"/>
        </w:rPr>
        <w:t xml:space="preserve">,</w:t>
      </w:r>
      <w:r>
        <w:br/>
      </w:r>
      <w:r>
        <w:rPr>
          <w:rStyle w:val="DecValTok"/>
        </w:rPr>
        <w:t xml:space="preserve">7</w:t>
      </w:r>
      <w:r>
        <w:rPr>
          <w:rStyle w:val="NormalTok"/>
        </w:rPr>
        <w:t xml:space="preserve">  )</w:t>
      </w:r>
    </w:p>
    <w:bookmarkEnd w:id="49"/>
    <w:p>
      <w:pPr>
        <w:pStyle w:val="FirstParagraph"/>
      </w:pPr>
      <w:r>
        <w:t xml:space="preserve">Le job sélectionne tous les actifs, et Dagster les lance dans l’ordre du lignage : DLT d’abord, puis dbt. Il est planifié tous les jours à 2 h, heure de Dakar. Le run complet sur Snowflake a duré 7 min 28 s, dont 4 min 33 s pour DLT et 23 s pour dbt (figure 3.3).</w:t>
      </w:r>
    </w:p>
    <w:p>
      <w:pPr>
        <w:pStyle w:val="CaptionedFigure"/>
      </w:pPr>
      <w:r>
        <w:drawing>
          <wp:inline>
            <wp:extent cx="5753100" cy="3406243"/>
            <wp:effectExtent b="0" l="0" r="0" t="0"/>
            <wp:docPr descr="Run complet du job pipeline_complet sur Snowflake" title="" id="51" name="Picture"/>
            <a:graphic>
              <a:graphicData uri="http://schemas.openxmlformats.org/drawingml/2006/picture">
                <pic:pic>
                  <pic:nvPicPr>
                    <pic:cNvPr descr="../../captures/Capture16.png" id="52" name="Picture"/>
                    <pic:cNvPicPr>
                      <a:picLocks noChangeArrowheads="1" noChangeAspect="1"/>
                    </pic:cNvPicPr>
                  </pic:nvPicPr>
                  <pic:blipFill>
                    <a:blip r:embed="rId50"/>
                    <a:stretch>
                      <a:fillRect/>
                    </a:stretch>
                  </pic:blipFill>
                  <pic:spPr bwMode="auto">
                    <a:xfrm>
                      <a:off x="0" y="0"/>
                      <a:ext cx="5753100" cy="3406243"/>
                    </a:xfrm>
                    <a:prstGeom prst="rect">
                      <a:avLst/>
                    </a:prstGeom>
                    <a:noFill/>
                    <a:ln w="9525">
                      <a:noFill/>
                      <a:headEnd/>
                      <a:tailEnd/>
                    </a:ln>
                  </pic:spPr>
                </pic:pic>
              </a:graphicData>
            </a:graphic>
          </wp:inline>
        </w:drawing>
      </w:r>
    </w:p>
    <w:p>
      <w:pPr>
        <w:pStyle w:val="ImageCaption"/>
      </w:pPr>
      <w:r>
        <w:rPr>
          <w:bCs/>
          <w:b/>
        </w:rPr>
        <w:t xml:space="preserve">Figure 3.3</w:t>
      </w:r>
      <w:r>
        <w:t xml:space="preserve"> – Run complet du job</w:t>
      </w:r>
      <w:r>
        <w:t xml:space="preserve"> </w:t>
      </w:r>
      <w:r>
        <w:rPr>
          <w:rStyle w:val="VerbatimChar"/>
        </w:rPr>
        <w:t xml:space="preserve">pipeline_complet</w:t>
      </w:r>
      <w:r>
        <w:t xml:space="preserve"> </w:t>
      </w:r>
      <w:r>
        <w:t xml:space="preserve">sur Snowflake</w:t>
      </w:r>
    </w:p>
    <w:bookmarkEnd w:id="53"/>
    <w:bookmarkStart w:id="57" w:name="passage-à-snowflake"/>
    <w:p>
      <w:pPr>
        <w:pStyle w:val="Heading2"/>
      </w:pPr>
      <w:r>
        <w:rPr>
          <w:rStyle w:val="SectionNumber"/>
        </w:rPr>
        <w:t xml:space="preserve">3.4</w:t>
      </w:r>
      <w:r>
        <w:tab/>
      </w:r>
      <w:r>
        <w:t xml:space="preserve">Passage à Snowflake</w:t>
      </w:r>
    </w:p>
    <w:p>
      <w:pPr>
        <w:pStyle w:val="FirstParagraph"/>
      </w:pPr>
      <w:r>
        <w:t xml:space="preserve">Côté code, il a suffi de changer</w:t>
      </w:r>
      <w:r>
        <w:t xml:space="preserve"> </w:t>
      </w:r>
      <w:r>
        <w:rPr>
          <w:rStyle w:val="VerbatimChar"/>
        </w:rPr>
        <w:t xml:space="preserve">DLT_DESTINATION</w:t>
      </w:r>
      <w:r>
        <w:t xml:space="preserve"> </w:t>
      </w:r>
      <w:r>
        <w:t xml:space="preserve">et</w:t>
      </w:r>
      <w:r>
        <w:t xml:space="preserve"> </w:t>
      </w:r>
      <w:r>
        <w:rPr>
          <w:rStyle w:val="VerbatimChar"/>
        </w:rPr>
        <w:t xml:space="preserve">DBT_TARGET</w:t>
      </w:r>
      <w:r>
        <w:t xml:space="preserve"> </w:t>
      </w:r>
      <w:r>
        <w:t xml:space="preserve">et de renseigner les identifiants Snowflake dans des variables d’environnement. Nous avons créé un rôle</w:t>
      </w:r>
      <w:r>
        <w:t xml:space="preserve"> </w:t>
      </w:r>
      <w:r>
        <w:rPr>
          <w:rStyle w:val="VerbatimChar"/>
        </w:rPr>
        <w:t xml:space="preserve">PFPB_ROLE</w:t>
      </w:r>
      <w:r>
        <w:t xml:space="preserve"> </w:t>
      </w:r>
      <w:r>
        <w:t xml:space="preserve">avec l’usage de la base</w:t>
      </w:r>
      <w:r>
        <w:t xml:space="preserve"> </w:t>
      </w:r>
      <w:r>
        <w:rPr>
          <w:rStyle w:val="VerbatimChar"/>
        </w:rPr>
        <w:t xml:space="preserve">PROJET_FINAL_PRATIQUE_BI</w:t>
      </w:r>
      <w:r>
        <w:t xml:space="preserve"> </w:t>
      </w:r>
      <w:r>
        <w:t xml:space="preserve">et du warehouse</w:t>
      </w:r>
      <w:r>
        <w:t xml:space="preserve"> </w:t>
      </w:r>
      <w:r>
        <w:rPr>
          <w:rStyle w:val="VerbatimChar"/>
        </w:rPr>
        <w:t xml:space="preserve">COMPUTE_WH</w:t>
      </w:r>
      <w:r>
        <w:t xml:space="preserve"> </w:t>
      </w:r>
      <w:r>
        <w:t xml:space="preserve">(taille XSMALL, suspendu après 60 s d’inactivité).</w:t>
      </w:r>
    </w:p>
    <w:p>
      <w:pPr>
        <w:pStyle w:val="BodyText"/>
      </w:pPr>
      <w:r>
        <w:t xml:space="preserve">Le vrai problème a été les droits. Nous avions créé les schémas avec</w:t>
      </w:r>
      <w:r>
        <w:t xml:space="preserve"> </w:t>
      </w:r>
      <w:r>
        <w:rPr>
          <w:rStyle w:val="VerbatimChar"/>
        </w:rPr>
        <w:t xml:space="preserve">ACCOUNTADMIN</w:t>
      </w:r>
      <w:r>
        <w:t xml:space="preserve">, et DLT comme dbt échouaient avec</w:t>
      </w:r>
      <w:r>
        <w:t xml:space="preserve"> </w:t>
      </w:r>
      <w:r>
        <w:rPr>
          <w:iCs/>
          <w:i/>
        </w:rPr>
        <w:t xml:space="preserve">Insufficient privileges to operate on schema</w:t>
      </w:r>
      <w:r>
        <w:t xml:space="preserve">, même après plusieurs</w:t>
      </w:r>
      <w:r>
        <w:t xml:space="preserve"> </w:t>
      </w:r>
      <w:r>
        <w:rPr>
          <w:rStyle w:val="VerbatimChar"/>
        </w:rPr>
        <w:t xml:space="preserve">GRANT</w:t>
      </w:r>
      <w:r>
        <w:t xml:space="preserve">. Dans Snowflake, c’est le propriétaire du schéma qui peut y créer et remplacer des tables. La solution a été de transférer la propriété des schémas à</w:t>
      </w:r>
      <w:r>
        <w:t xml:space="preserve"> </w:t>
      </w:r>
      <w:r>
        <w:rPr>
          <w:rStyle w:val="VerbatimChar"/>
        </w:rPr>
        <w:t xml:space="preserve">PFPB_ROLE</w:t>
      </w:r>
      <w:r>
        <w:t xml:space="preserve"> </w:t>
      </w:r>
      <w:r>
        <w:t xml:space="preserve">(</w:t>
      </w:r>
      <w:r>
        <w:rPr>
          <w:rStyle w:val="VerbatimChar"/>
        </w:rPr>
        <w:t xml:space="preserve">GRANT OWNERSHIP ON SCHEMA … COPY CURRENT GRANTS</w:t>
      </w:r>
      <w:r>
        <w:t xml:space="preserve">), ou de les recréer avec ce rôle.</w:t>
      </w:r>
    </w:p>
    <w:p>
      <w:pPr>
        <w:pStyle w:val="CaptionedFigure"/>
      </w:pPr>
      <w:r>
        <w:drawing>
          <wp:inline>
            <wp:extent cx="5753100" cy="3094129"/>
            <wp:effectExtent b="0" l="0" r="0" t="0"/>
            <wp:docPr descr="Schéma GOLD dans Snowsight, avec PFPB_ROLE comme propriétaire" title="" id="55" name="Picture"/>
            <a:graphic>
              <a:graphicData uri="http://schemas.openxmlformats.org/drawingml/2006/picture">
                <pic:pic>
                  <pic:nvPicPr>
                    <pic:cNvPr descr="../../captures/Capture18.png" id="56" name="Picture"/>
                    <pic:cNvPicPr>
                      <a:picLocks noChangeArrowheads="1" noChangeAspect="1"/>
                    </pic:cNvPicPr>
                  </pic:nvPicPr>
                  <pic:blipFill>
                    <a:blip r:embed="rId54"/>
                    <a:stretch>
                      <a:fillRect/>
                    </a:stretch>
                  </pic:blipFill>
                  <pic:spPr bwMode="auto">
                    <a:xfrm>
                      <a:off x="0" y="0"/>
                      <a:ext cx="5753100" cy="3094129"/>
                    </a:xfrm>
                    <a:prstGeom prst="rect">
                      <a:avLst/>
                    </a:prstGeom>
                    <a:noFill/>
                    <a:ln w="9525">
                      <a:noFill/>
                      <a:headEnd/>
                      <a:tailEnd/>
                    </a:ln>
                  </pic:spPr>
                </pic:pic>
              </a:graphicData>
            </a:graphic>
          </wp:inline>
        </w:drawing>
      </w:r>
    </w:p>
    <w:p>
      <w:pPr>
        <w:pStyle w:val="ImageCaption"/>
      </w:pPr>
      <w:r>
        <w:rPr>
          <w:bCs/>
          <w:b/>
        </w:rPr>
        <w:t xml:space="preserve">Figure 3.4</w:t>
      </w:r>
      <w:r>
        <w:t xml:space="preserve"> – Schéma</w:t>
      </w:r>
      <w:r>
        <w:t xml:space="preserve"> </w:t>
      </w:r>
      <w:r>
        <w:rPr>
          <w:rStyle w:val="VerbatimChar"/>
        </w:rPr>
        <w:t xml:space="preserve">GOLD</w:t>
      </w:r>
      <w:r>
        <w:t xml:space="preserve"> </w:t>
      </w:r>
      <w:r>
        <w:t xml:space="preserve">dans Snowsight, avec</w:t>
      </w:r>
      <w:r>
        <w:t xml:space="preserve"> </w:t>
      </w:r>
      <w:r>
        <w:rPr>
          <w:rStyle w:val="VerbatimChar"/>
        </w:rPr>
        <w:t xml:space="preserve">PFPB_ROLE</w:t>
      </w:r>
      <w:r>
        <w:t xml:space="preserve"> </w:t>
      </w:r>
      <w:r>
        <w:t xml:space="preserve">comme propriétaire</w:t>
      </w:r>
    </w:p>
    <w:bookmarkEnd w:id="57"/>
    <w:bookmarkStart w:id="72" w:name="application-wwi-insight"/>
    <w:p>
      <w:pPr>
        <w:pStyle w:val="Heading2"/>
      </w:pPr>
      <w:r>
        <w:rPr>
          <w:rStyle w:val="SectionNumber"/>
        </w:rPr>
        <w:t xml:space="preserve">3.5</w:t>
      </w:r>
      <w:r>
        <w:tab/>
      </w:r>
      <w:r>
        <w:t xml:space="preserve">Application WWI Insight</w:t>
      </w:r>
    </w:p>
    <w:p>
      <w:pPr>
        <w:pStyle w:val="FirstParagraph"/>
      </w:pPr>
      <w:r>
        <w:t xml:space="preserve">L’application est en Streamlit. Elle a une page d’accueil avec quelques chiffres calculés sur la couche Gold (figure 3.5), une connexion avec inscription, et un espace où l’utilisateur range ses questions dans des dossiers. Les comptes et les analyses sont stockés dans une petite base SQLite, avec des mots de passe hachés en bcrypt. Pour ne pas être déconnecté quand on recharge la page, un jeton de session valable sept jours est gardé dans l’adresse.</w:t>
      </w:r>
    </w:p>
    <w:p>
      <w:pPr>
        <w:pStyle w:val="CaptionedFigure"/>
      </w:pPr>
      <w:r>
        <w:drawing>
          <wp:inline>
            <wp:extent cx="5177790" cy="3079123"/>
            <wp:effectExtent b="0" l="0" r="0" t="0"/>
            <wp:docPr descr="Page d’accueil connectée à Snowflake" title="" id="59" name="Picture"/>
            <a:graphic>
              <a:graphicData uri="http://schemas.openxmlformats.org/drawingml/2006/picture">
                <pic:pic>
                  <pic:nvPicPr>
                    <pic:cNvPr descr="../../captures/Capture20.png" id="60" name="Picture"/>
                    <pic:cNvPicPr>
                      <a:picLocks noChangeArrowheads="1" noChangeAspect="1"/>
                    </pic:cNvPicPr>
                  </pic:nvPicPr>
                  <pic:blipFill>
                    <a:blip r:embed="rId58"/>
                    <a:stretch>
                      <a:fillRect/>
                    </a:stretch>
                  </pic:blipFill>
                  <pic:spPr bwMode="auto">
                    <a:xfrm>
                      <a:off x="0" y="0"/>
                      <a:ext cx="5177790" cy="3079123"/>
                    </a:xfrm>
                    <a:prstGeom prst="rect">
                      <a:avLst/>
                    </a:prstGeom>
                    <a:noFill/>
                    <a:ln w="9525">
                      <a:noFill/>
                      <a:headEnd/>
                      <a:tailEnd/>
                    </a:ln>
                  </pic:spPr>
                </pic:pic>
              </a:graphicData>
            </a:graphic>
          </wp:inline>
        </w:drawing>
      </w:r>
    </w:p>
    <w:p>
      <w:pPr>
        <w:pStyle w:val="ImageCaption"/>
      </w:pPr>
      <w:r>
        <w:rPr>
          <w:bCs/>
          <w:b/>
        </w:rPr>
        <w:t xml:space="preserve">Figure 3.5</w:t>
      </w:r>
      <w:r>
        <w:t xml:space="preserve"> – Page d’accueil connectée à Snowflake</w:t>
      </w:r>
    </w:p>
    <w:bookmarkStart w:id="62" w:name="génération-du-sql"/>
    <w:p>
      <w:pPr>
        <w:pStyle w:val="Heading3"/>
      </w:pPr>
      <w:r>
        <w:rPr>
          <w:rStyle w:val="SectionNumber"/>
        </w:rPr>
        <w:t xml:space="preserve">3.5.1</w:t>
      </w:r>
      <w:r>
        <w:tab/>
      </w:r>
      <w:r>
        <w:t xml:space="preserve">Génération du SQL</w:t>
      </w:r>
    </w:p>
    <w:p>
      <w:pPr>
        <w:pStyle w:val="FirstParagraph"/>
      </w:pPr>
      <w:r>
        <w:t xml:space="preserve">Au démarrage, l’application teste Cortex. Sur notre compte d’essai, l’appel à</w:t>
      </w:r>
      <w:r>
        <w:t xml:space="preserve"> </w:t>
      </w:r>
      <w:r>
        <w:rPr>
          <w:rStyle w:val="VerbatimChar"/>
        </w:rPr>
        <w:t xml:space="preserve">SNOWFLAKE.CORTEX.COMPLETE</w:t>
      </w:r>
      <w:r>
        <w:t xml:space="preserve"> </w:t>
      </w:r>
      <w:r>
        <w:t xml:space="preserve">est refusé, elle passe donc sur Ollama avec le modèle</w:t>
      </w:r>
      <w:r>
        <w:t xml:space="preserve"> </w:t>
      </w:r>
      <w:r>
        <w:rPr>
          <w:rStyle w:val="VerbatimChar"/>
        </w:rPr>
        <w:t xml:space="preserve">qwen2.5-coder:7b</w:t>
      </w:r>
      <w:r>
        <w:t xml:space="preserve">, installé sur la machine. Si aucun des deux ne répond, seules les questions d’exemple restent utilisables. La consigne envoyée au modèle est volontairement courte :</w:t>
      </w:r>
    </w:p>
    <w:p>
      <w:pPr>
        <w:pStyle w:val="BodyText"/>
      </w:pPr>
      <w:r>
        <w:rPr>
          <w:bCs/>
          <w:b/>
        </w:rPr>
        <w:t xml:space="preserve">Code 3.5</w:t>
      </w:r>
      <w:r>
        <w:t xml:space="preserve"> – Consigne envoyée au modèle (presentation_app/warehouse.py)</w:t>
      </w:r>
    </w:p>
    <w:bookmarkStart w:id="61" w:name="code:prompt"/>
    <w:p>
      <w:pPr>
        <w:pStyle w:val="SourceCode"/>
      </w:pPr>
      <w:r>
        <w:rPr>
          <w:rStyle w:val="NormalTok"/>
        </w:rPr>
        <w:t xml:space="preserve"> </w:t>
      </w:r>
      <w:r>
        <w:rPr>
          <w:rStyle w:val="DecValTok"/>
        </w:rPr>
        <w:t xml:space="preserve">1</w:t>
      </w:r>
      <w:r>
        <w:rPr>
          <w:rStyle w:val="NormalTok"/>
        </w:rPr>
        <w:t xml:space="preserve">  PROMPT </w:t>
      </w:r>
      <w:r>
        <w:rPr>
          <w:rStyle w:val="OperatorTok"/>
        </w:rPr>
        <w:t xml:space="preserve">=</w:t>
      </w:r>
      <w:r>
        <w:rPr>
          <w:rStyle w:val="NormalTok"/>
        </w:rPr>
        <w:t xml:space="preserve"> </w:t>
      </w:r>
      <w:r>
        <w:rPr>
          <w:rStyle w:val="StringTok"/>
        </w:rPr>
        <w:t xml:space="preserve">"""Tu es un expert SQL </w:t>
      </w:r>
      <w:r>
        <w:rPr>
          <w:rStyle w:val="SpecialCharTok"/>
        </w:rPr>
        <w:t xml:space="preserve">{dialect}</w:t>
      </w:r>
      <w:r>
        <w:rPr>
          <w:rStyle w:val="StringTok"/>
        </w:rPr>
        <w:t xml:space="preserve">. Tu réponds aux questions sur l'entreprise</w:t>
      </w:r>
      <w:r>
        <w:br/>
      </w:r>
      <w:r>
        <w:rPr>
          <w:rStyle w:val="StringTok"/>
        </w:rPr>
        <w:t xml:space="preserve"> 2  Wide World Importers à partir de ce schéma (couche GOLD) :</w:t>
      </w:r>
      <w:r>
        <w:br/>
      </w:r>
      <w:r>
        <w:rPr>
          <w:rStyle w:val="StringTok"/>
        </w:rPr>
        <w:t xml:space="preserve"> 3  </w:t>
      </w:r>
      <w:r>
        <w:br/>
      </w:r>
      <w:r>
        <w:rPr>
          <w:rStyle w:val="StringTok"/>
        </w:rPr>
        <w:t xml:space="preserve"> 4  </w:t>
      </w:r>
      <w:r>
        <w:rPr>
          <w:rStyle w:val="SpecialCharTok"/>
        </w:rPr>
        <w:t xml:space="preserve">{schema}</w:t>
      </w:r>
      <w:r>
        <w:br/>
      </w:r>
      <w:r>
        <w:rPr>
          <w:rStyle w:val="StringTok"/>
        </w:rPr>
        <w:t xml:space="preserve"> 5  </w:t>
      </w:r>
      <w:r>
        <w:br/>
      </w:r>
      <w:r>
        <w:rPr>
          <w:rStyle w:val="StringTok"/>
        </w:rPr>
        <w:t xml:space="preserve"> 6  Règles :</w:t>
      </w:r>
      <w:r>
        <w:br/>
      </w:r>
      <w:r>
        <w:rPr>
          <w:rStyle w:val="StringTok"/>
        </w:rPr>
        <w:t xml:space="preserve"> 7  - une seule requête SELECT, uniquement sur les tables gold ci-dessus ;</w:t>
      </w:r>
      <w:r>
        <w:br/>
      </w:r>
      <w:r>
        <w:rPr>
          <w:rStyle w:val="StringTok"/>
        </w:rPr>
        <w:t xml:space="preserve"> 8  - chiffre d'affaires = sum(sales_amount_excl_tax) de gold.fct_sales ;</w:t>
      </w:r>
      <w:r>
        <w:br/>
      </w:r>
      <w:r>
        <w:rPr>
          <w:rStyle w:val="StringTok"/>
        </w:rPr>
        <w:t xml:space="preserve"> 9  - bénéfice = sum(line_profit) de gold.fct_invoice_lines ;</w:t>
      </w:r>
      <w:r>
        <w:br/>
      </w:r>
      <w:r>
        <w:rPr>
          <w:rStyle w:val="StringTok"/>
        </w:rPr>
        <w:t xml:space="preserve">10  - noms de colonnes de résultat en français et en snake_case ;</w:t>
      </w:r>
      <w:r>
        <w:br/>
      </w:r>
      <w:r>
        <w:rPr>
          <w:rStyle w:val="StringTok"/>
        </w:rPr>
        <w:t xml:space="preserve">11  - </w:t>
      </w:r>
      <w:r>
        <w:rPr>
          <w:rStyle w:val="SpecialCharTok"/>
        </w:rPr>
        <w:t xml:space="preserve">{max_rows}</w:t>
      </w:r>
      <w:r>
        <w:rPr>
          <w:rStyle w:val="StringTok"/>
        </w:rPr>
        <w:t xml:space="preserve"> lignes maximum.</w:t>
      </w:r>
      <w:r>
        <w:br/>
      </w:r>
      <w:r>
        <w:rPr>
          <w:rStyle w:val="StringTok"/>
        </w:rPr>
        <w:t xml:space="preserve">12  Réponds uniquement avec le SQL, sans explication ni balise.</w:t>
      </w:r>
      <w:r>
        <w:br/>
      </w:r>
      <w:r>
        <w:rPr>
          <w:rStyle w:val="StringTok"/>
        </w:rPr>
        <w:t xml:space="preserve">13  </w:t>
      </w:r>
      <w:r>
        <w:br/>
      </w:r>
      <w:r>
        <w:rPr>
          <w:rStyle w:val="StringTok"/>
        </w:rPr>
        <w:t xml:space="preserve">14  Question : </w:t>
      </w:r>
      <w:r>
        <w:rPr>
          <w:rStyle w:val="SpecialCharTok"/>
        </w:rPr>
        <w:t xml:space="preserve">{question}</w:t>
      </w:r>
      <w:r>
        <w:rPr>
          <w:rStyle w:val="StringTok"/>
        </w:rPr>
        <w:t xml:space="preserve">"""</w:t>
      </w:r>
    </w:p>
    <w:bookmarkEnd w:id="61"/>
    <w:p>
      <w:pPr>
        <w:pStyle w:val="FirstParagraph"/>
      </w:pPr>
      <w:r>
        <w:t xml:space="preserve">Le schéma n’est pas écrit à la main : il est lu dans</w:t>
      </w:r>
      <w:r>
        <w:t xml:space="preserve"> </w:t>
      </w:r>
      <w:r>
        <w:rPr>
          <w:rStyle w:val="VerbatimChar"/>
        </w:rPr>
        <w:t xml:space="preserve">information_schema.columns</w:t>
      </w:r>
      <w:r>
        <w:t xml:space="preserve"> </w:t>
      </w:r>
      <w:r>
        <w:t xml:space="preserve">et réduit à une ligne par table, ce qui raccourcit la consigne pour le modèle local. Les deux règles des lignes 8 et 9 servent à ce que le modèle prenne la bonne table de faits, puisque le bénéfice ne se trouve que dans</w:t>
      </w:r>
      <w:r>
        <w:t xml:space="preserve"> </w:t>
      </w:r>
      <w:r>
        <w:rPr>
          <w:rStyle w:val="VerbatimChar"/>
        </w:rPr>
        <w:t xml:space="preserve">fct_invoice_lines</w:t>
      </w:r>
      <w:r>
        <w:t xml:space="preserve">.</w:t>
      </w:r>
    </w:p>
    <w:bookmarkEnd w:id="62"/>
    <w:bookmarkStart w:id="64" w:name="contrôle-des-requêtes"/>
    <w:p>
      <w:pPr>
        <w:pStyle w:val="Heading3"/>
      </w:pPr>
      <w:r>
        <w:rPr>
          <w:rStyle w:val="SectionNumber"/>
        </w:rPr>
        <w:t xml:space="preserve">3.5.2</w:t>
      </w:r>
      <w:r>
        <w:tab/>
      </w:r>
      <w:r>
        <w:t xml:space="preserve">Contrôle des requêtes</w:t>
      </w:r>
    </w:p>
    <w:p>
      <w:pPr>
        <w:pStyle w:val="FirstParagraph"/>
      </w:pPr>
      <w:r>
        <w:t xml:space="preserve">Avant d’être exécutée, la requête passe par</w:t>
      </w:r>
      <w:r>
        <w:t xml:space="preserve"> </w:t>
      </w:r>
      <w:r>
        <w:rPr>
          <w:rStyle w:val="VerbatimChar"/>
        </w:rPr>
        <w:t xml:space="preserve">clean_sql</w:t>
      </w:r>
      <w:r>
        <w:t xml:space="preserve"> </w:t>
      </w:r>
      <w:r>
        <w:t xml:space="preserve">:</w:t>
      </w:r>
    </w:p>
    <w:p>
      <w:pPr>
        <w:pStyle w:val="BodyText"/>
      </w:pPr>
      <w:r>
        <w:rPr>
          <w:bCs/>
          <w:b/>
        </w:rPr>
        <w:t xml:space="preserve">Code 3.6</w:t>
      </w:r>
      <w:r>
        <w:t xml:space="preserve"> – Contrôle de la requête (presentation_app/warehouse.py)</w:t>
      </w:r>
    </w:p>
    <w:bookmarkStart w:id="63" w:name="code:clean"/>
    <w:p>
      <w:pPr>
        <w:pStyle w:val="SourceCode"/>
      </w:pPr>
      <w:r>
        <w:rPr>
          <w:rStyle w:val="NormalTok"/>
        </w:rPr>
        <w:t xml:space="preserve"> </w:t>
      </w:r>
      <w:r>
        <w:rPr>
          <w:rStyle w:val="DecValTok"/>
        </w:rPr>
        <w:t xml:space="preserve">1</w:t>
      </w:r>
      <w:r>
        <w:rPr>
          <w:rStyle w:val="NormalTok"/>
        </w:rPr>
        <w:t xml:space="preserve">  </w:t>
      </w:r>
      <w:r>
        <w:rPr>
          <w:rStyle w:val="KeywordTok"/>
        </w:rPr>
        <w:t xml:space="preserve">def</w:t>
      </w:r>
      <w:r>
        <w:rPr>
          <w:rStyle w:val="NormalTok"/>
        </w:rPr>
        <w:t xml:space="preserve"> clean_sql(sql: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DecValTok"/>
        </w:rPr>
        <w:t xml:space="preserve">2</w:t>
      </w:r>
      <w:r>
        <w:rPr>
          <w:rStyle w:val="NormalTok"/>
        </w:rPr>
        <w:t xml:space="preserve">      sql </w:t>
      </w:r>
      <w:r>
        <w:rPr>
          <w:rStyle w:val="OperatorTok"/>
        </w:rPr>
        <w:t xml:space="preserve">=</w:t>
      </w:r>
      <w:r>
        <w:rPr>
          <w:rStyle w:val="NormalTok"/>
        </w:rPr>
        <w:t xml:space="preserve"> re.sub(</w:t>
      </w:r>
      <w:r>
        <w:rPr>
          <w:rStyle w:val="VerbatimStringTok"/>
        </w:rPr>
        <w:t xml:space="preserve">r"```(?:sql)?"</w:t>
      </w:r>
      <w:r>
        <w:rPr>
          <w:rStyle w:val="NormalTok"/>
        </w:rPr>
        <w:t xml:space="preserve">, </w:t>
      </w:r>
      <w:r>
        <w:rPr>
          <w:rStyle w:val="StringTok"/>
        </w:rPr>
        <w:t xml:space="preserve">""</w:t>
      </w:r>
      <w:r>
        <w:rPr>
          <w:rStyle w:val="NormalTok"/>
        </w:rPr>
        <w:t xml:space="preserve">, sql, flags</w:t>
      </w:r>
      <w:r>
        <w:rPr>
          <w:rStyle w:val="OperatorTok"/>
        </w:rPr>
        <w:t xml:space="preserve">=</w:t>
      </w:r>
      <w:r>
        <w:rPr>
          <w:rStyle w:val="NormalTok"/>
        </w:rPr>
        <w:t xml:space="preserve">re.IGNORECASE).strip().rstrip(</w:t>
      </w:r>
      <w:r>
        <w:rPr>
          <w:rStyle w:val="StringTok"/>
        </w:rPr>
        <w:t xml:space="preserve">";"</w:t>
      </w:r>
      <w:r>
        <w:rPr>
          <w:rStyle w:val="NormalTok"/>
        </w:rPr>
        <w:t xml:space="preserve">).strip()</w:t>
      </w:r>
      <w:r>
        <w:br/>
      </w:r>
      <w:r>
        <w:rPr>
          <w:rStyle w:val="NormalTok"/>
        </w:rPr>
        <w:t xml:space="preserve"> </w:t>
      </w:r>
      <w:r>
        <w:rPr>
          <w:rStyle w:val="DecValTok"/>
        </w:rPr>
        <w:t xml:space="preserve">3</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re.match(</w:t>
      </w:r>
      <w:r>
        <w:rPr>
          <w:rStyle w:val="VerbatimStringTok"/>
        </w:rPr>
        <w:t xml:space="preserve">r"^(select|with)\b"</w:t>
      </w:r>
      <w:r>
        <w:rPr>
          <w:rStyle w:val="NormalTok"/>
        </w:rPr>
        <w:t xml:space="preserve">, sql, re.IGNORECASE):</w:t>
      </w:r>
      <w:r>
        <w:br/>
      </w:r>
      <w:r>
        <w:rPr>
          <w:rStyle w:val="NormalTok"/>
        </w:rPr>
        <w:t xml:space="preserve"> </w:t>
      </w:r>
      <w:r>
        <w:rPr>
          <w:rStyle w:val="DecValTok"/>
        </w:rPr>
        <w:t xml:space="preserve">4</w:t>
      </w:r>
      <w:r>
        <w:rPr>
          <w:rStyle w:val="NormalTok"/>
        </w:rPr>
        <w:t xml:space="preserve">          </w:t>
      </w:r>
      <w:r>
        <w:rPr>
          <w:rStyle w:val="ControlFlowTok"/>
        </w:rPr>
        <w:t xml:space="preserve">raise</w:t>
      </w:r>
      <w:r>
        <w:rPr>
          <w:rStyle w:val="NormalTok"/>
        </w:rPr>
        <w:t xml:space="preserve"> QueryError(</w:t>
      </w:r>
      <w:r>
        <w:rPr>
          <w:rStyle w:val="StringTok"/>
        </w:rPr>
        <w:t xml:space="preserve">"Requête refusée : seules les requêtes SELECT sont autorisées."</w:t>
      </w:r>
      <w:r>
        <w:rPr>
          <w:rStyle w:val="NormalTok"/>
        </w:rPr>
        <w:t xml:space="preserve">)</w:t>
      </w:r>
      <w:r>
        <w:br/>
      </w:r>
      <w:r>
        <w:rPr>
          <w:rStyle w:val="NormalTok"/>
        </w:rPr>
        <w:t xml:space="preserve"> </w:t>
      </w:r>
      <w:r>
        <w:rPr>
          <w:rStyle w:val="DecValTok"/>
        </w:rPr>
        <w:t xml:space="preserve">5</w:t>
      </w:r>
      <w:r>
        <w:rPr>
          <w:rStyle w:val="NormalTok"/>
        </w:rPr>
        <w:t xml:space="preserve">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sql:</w:t>
      </w:r>
      <w:r>
        <w:br/>
      </w:r>
      <w:r>
        <w:rPr>
          <w:rStyle w:val="NormalTok"/>
        </w:rPr>
        <w:t xml:space="preserve"> </w:t>
      </w:r>
      <w:r>
        <w:rPr>
          <w:rStyle w:val="DecValTok"/>
        </w:rPr>
        <w:t xml:space="preserve">6</w:t>
      </w:r>
      <w:r>
        <w:rPr>
          <w:rStyle w:val="NormalTok"/>
        </w:rPr>
        <w:t xml:space="preserve">          </w:t>
      </w:r>
      <w:r>
        <w:rPr>
          <w:rStyle w:val="ControlFlowTok"/>
        </w:rPr>
        <w:t xml:space="preserve">raise</w:t>
      </w:r>
      <w:r>
        <w:rPr>
          <w:rStyle w:val="NormalTok"/>
        </w:rPr>
        <w:t xml:space="preserve"> QueryError(</w:t>
      </w:r>
      <w:r>
        <w:rPr>
          <w:rStyle w:val="StringTok"/>
        </w:rPr>
        <w:t xml:space="preserve">"Requête refusée : une seule instruction est autorisée."</w:t>
      </w:r>
      <w:r>
        <w:rPr>
          <w:rStyle w:val="NormalTok"/>
        </w:rPr>
        <w:t xml:space="preserve">)</w:t>
      </w:r>
      <w:r>
        <w:br/>
      </w:r>
      <w:r>
        <w:rPr>
          <w:rStyle w:val="NormalTok"/>
        </w:rPr>
        <w:t xml:space="preserve"> </w:t>
      </w:r>
      <w:r>
        <w:rPr>
          <w:rStyle w:val="DecValTok"/>
        </w:rPr>
        <w:t xml:space="preserve">7</w:t>
      </w:r>
      <w:r>
        <w:rPr>
          <w:rStyle w:val="NormalTok"/>
        </w:rPr>
        <w:t xml:space="preserve">      </w:t>
      </w:r>
      <w:r>
        <w:rPr>
          <w:rStyle w:val="ControlFlowTok"/>
        </w:rPr>
        <w:t xml:space="preserve">if</w:t>
      </w:r>
      <w:r>
        <w:rPr>
          <w:rStyle w:val="NormalTok"/>
        </w:rPr>
        <w:t xml:space="preserve"> FORBIDDEN.search(re.sub(</w:t>
      </w:r>
      <w:r>
        <w:rPr>
          <w:rStyle w:val="VerbatimStringTok"/>
        </w:rPr>
        <w:t xml:space="preserve">r"'[^']*'"</w:t>
      </w:r>
      <w:r>
        <w:rPr>
          <w:rStyle w:val="NormalTok"/>
        </w:rPr>
        <w:t xml:space="preserve">, </w:t>
      </w:r>
      <w:r>
        <w:rPr>
          <w:rStyle w:val="StringTok"/>
        </w:rPr>
        <w:t xml:space="preserve">"''"</w:t>
      </w:r>
      <w:r>
        <w:rPr>
          <w:rStyle w:val="NormalTok"/>
        </w:rPr>
        <w:t xml:space="preserve">, sql)):</w:t>
      </w:r>
      <w:r>
        <w:br/>
      </w:r>
      <w:r>
        <w:rPr>
          <w:rStyle w:val="NormalTok"/>
        </w:rPr>
        <w:t xml:space="preserve"> </w:t>
      </w:r>
      <w:r>
        <w:rPr>
          <w:rStyle w:val="DecValTok"/>
        </w:rPr>
        <w:t xml:space="preserve">8</w:t>
      </w:r>
      <w:r>
        <w:rPr>
          <w:rStyle w:val="NormalTok"/>
        </w:rPr>
        <w:t xml:space="preserve">          </w:t>
      </w:r>
      <w:r>
        <w:rPr>
          <w:rStyle w:val="ControlFlowTok"/>
        </w:rPr>
        <w:t xml:space="preserve">raise</w:t>
      </w:r>
      <w:r>
        <w:rPr>
          <w:rStyle w:val="NormalTok"/>
        </w:rPr>
        <w:t xml:space="preserve"> QueryError(</w:t>
      </w:r>
      <w:r>
        <w:rPr>
          <w:rStyle w:val="StringTok"/>
        </w:rPr>
        <w:t xml:space="preserve">"Requête refusée : elle contient une instruction d'écriture."</w:t>
      </w:r>
      <w:r>
        <w:rPr>
          <w:rStyle w:val="NormalTok"/>
        </w:rPr>
        <w:t xml:space="preserve">)</w:t>
      </w:r>
      <w:r>
        <w:br/>
      </w:r>
      <w:r>
        <w:rPr>
          <w:rStyle w:val="NormalTok"/>
        </w:rPr>
        <w:t xml:space="preserve"> </w:t>
      </w:r>
      <w:r>
        <w:rPr>
          <w:rStyle w:val="DecValTok"/>
        </w:rPr>
        <w:t xml:space="preserve">9</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re.search(</w:t>
      </w:r>
      <w:r>
        <w:rPr>
          <w:rStyle w:val="VerbatimStringTok"/>
        </w:rPr>
        <w:t xml:space="preserve">r"\blimit\s+\d+\s*$"</w:t>
      </w:r>
      <w:r>
        <w:rPr>
          <w:rStyle w:val="NormalTok"/>
        </w:rPr>
        <w:t xml:space="preserve">, sql, re.IGNORECASE):</w:t>
      </w:r>
      <w:r>
        <w:br/>
      </w:r>
      <w:r>
        <w:rPr>
          <w:rStyle w:val="DecValTok"/>
        </w:rPr>
        <w:t xml:space="preserve">10</w:t>
      </w:r>
      <w:r>
        <w:rPr>
          <w:rStyle w:val="NormalTok"/>
        </w:rPr>
        <w:t xml:space="preserve">          sql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sql</w:t>
      </w:r>
      <w:r>
        <w:rPr>
          <w:rStyle w:val="SpecialCharTok"/>
        </w:rPr>
        <w:t xml:space="preserve">}</w:t>
      </w:r>
      <w:r>
        <w:rPr>
          <w:rStyle w:val="CharTok"/>
        </w:rPr>
        <w:t xml:space="preserve">\n</w:t>
      </w:r>
      <w:r>
        <w:rPr>
          <w:rStyle w:val="SpecialStringTok"/>
        </w:rPr>
        <w:t xml:space="preserve">limit </w:t>
      </w:r>
      <w:r>
        <w:rPr>
          <w:rStyle w:val="SpecialCharTok"/>
        </w:rPr>
        <w:t xml:space="preserve">{</w:t>
      </w:r>
      <w:r>
        <w:rPr>
          <w:rStyle w:val="NormalTok"/>
        </w:rPr>
        <w:t xml:space="preserve">MAX_ROWS</w:t>
      </w:r>
      <w:r>
        <w:rPr>
          <w:rStyle w:val="SpecialCharTok"/>
        </w:rPr>
        <w:t xml:space="preserve">}</w:t>
      </w:r>
      <w:r>
        <w:rPr>
          <w:rStyle w:val="SpecialStringTok"/>
        </w:rPr>
        <w:t xml:space="preserve">"</w:t>
      </w:r>
      <w:r>
        <w:br/>
      </w:r>
      <w:r>
        <w:rPr>
          <w:rStyle w:val="DecValTok"/>
        </w:rPr>
        <w:t xml:space="preserve">11</w:t>
      </w:r>
      <w:r>
        <w:rPr>
          <w:rStyle w:val="NormalTok"/>
        </w:rPr>
        <w:t xml:space="preserve">      </w:t>
      </w:r>
      <w:r>
        <w:rPr>
          <w:rStyle w:val="ControlFlowTok"/>
        </w:rPr>
        <w:t xml:space="preserve">return</w:t>
      </w:r>
      <w:r>
        <w:rPr>
          <w:rStyle w:val="NormalTok"/>
        </w:rPr>
        <w:t xml:space="preserve"> sql</w:t>
      </w:r>
    </w:p>
    <w:bookmarkEnd w:id="63"/>
    <w:p>
      <w:pPr>
        <w:pStyle w:val="FirstParagraph"/>
      </w:pPr>
      <w:r>
        <w:t xml:space="preserve">On enlève d’abord les balises Markdown que le modèle ajoute parfois. La requête doit ensuite commencer par</w:t>
      </w:r>
      <w:r>
        <w:t xml:space="preserve"> </w:t>
      </w:r>
      <w:r>
        <w:rPr>
          <w:rStyle w:val="VerbatimChar"/>
        </w:rPr>
        <w:t xml:space="preserve">SELECT</w:t>
      </w:r>
      <w:r>
        <w:t xml:space="preserve"> </w:t>
      </w:r>
      <w:r>
        <w:t xml:space="preserve">ou</w:t>
      </w:r>
      <w:r>
        <w:t xml:space="preserve"> </w:t>
      </w:r>
      <w:r>
        <w:rPr>
          <w:rStyle w:val="VerbatimChar"/>
        </w:rPr>
        <w:t xml:space="preserve">WITH</w:t>
      </w:r>
      <w:r>
        <w:t xml:space="preserve">, ne contenir qu’une instruction et aucun mot-clé d’écriture (</w:t>
      </w:r>
      <w:r>
        <w:rPr>
          <w:rStyle w:val="VerbatimChar"/>
        </w:rPr>
        <w:t xml:space="preserve">insert</w:t>
      </w:r>
      <w:r>
        <w:t xml:space="preserve">,</w:t>
      </w:r>
      <w:r>
        <w:t xml:space="preserve"> </w:t>
      </w:r>
      <w:r>
        <w:rPr>
          <w:rStyle w:val="VerbatimChar"/>
        </w:rPr>
        <w:t xml:space="preserve">drop</w:t>
      </w:r>
      <w:r>
        <w:t xml:space="preserve">,</w:t>
      </w:r>
      <w:r>
        <w:t xml:space="preserve"> </w:t>
      </w:r>
      <w:r>
        <w:rPr>
          <w:rStyle w:val="VerbatimChar"/>
        </w:rPr>
        <w:t xml:space="preserve">grant</w:t>
      </w:r>
      <w:r>
        <w:t xml:space="preserve">…). Le contenu des chaînes est vidé avant cette recherche, pour qu’un filtre comme</w:t>
      </w:r>
      <w:r>
        <w:t xml:space="preserve"> </w:t>
      </w:r>
      <w:r>
        <w:rPr>
          <w:rStyle w:val="VerbatimChar"/>
        </w:rPr>
        <w:t xml:space="preserve">'drop shipping'</w:t>
      </w:r>
      <w:r>
        <w:t xml:space="preserve"> </w:t>
      </w:r>
      <w:r>
        <w:t xml:space="preserve">ne soit pas refusé à tort. Enfin, un</w:t>
      </w:r>
      <w:r>
        <w:t xml:space="preserve"> </w:t>
      </w:r>
      <w:r>
        <w:rPr>
          <w:rStyle w:val="VerbatimChar"/>
        </w:rPr>
        <w:t xml:space="preserve">LIMIT 1000</w:t>
      </w:r>
      <w:r>
        <w:t xml:space="preserve"> </w:t>
      </w:r>
      <w:r>
        <w:t xml:space="preserve">est ajouté s’il manque.</w:t>
      </w:r>
    </w:p>
    <w:bookmarkEnd w:id="64"/>
    <w:bookmarkStart w:id="71" w:name="exemple"/>
    <w:p>
      <w:pPr>
        <w:pStyle w:val="Heading3"/>
      </w:pPr>
      <w:r>
        <w:rPr>
          <w:rStyle w:val="SectionNumber"/>
        </w:rPr>
        <w:t xml:space="preserve">3.5.3</w:t>
      </w:r>
      <w:r>
        <w:tab/>
      </w:r>
      <w:r>
        <w:t xml:space="preserve">Exemple</w:t>
      </w:r>
    </w:p>
    <w:p>
      <w:pPr>
        <w:pStyle w:val="FirstParagraph"/>
      </w:pPr>
      <w:r>
        <w:t xml:space="preserve">La figure 3.6 montre une question libre posée sur Snowflake : « Les 10 produits les plus vendus ? ». Ollama a mis 36,5 s pour écrire le SQL. L’onglet SQL (figure 3.7) montre une requête correcte : somme de</w:t>
      </w:r>
      <w:r>
        <w:t xml:space="preserve"> </w:t>
      </w:r>
      <w:r>
        <w:rPr>
          <w:rStyle w:val="VerbatimChar"/>
        </w:rPr>
        <w:t xml:space="preserve">quantity</w:t>
      </w:r>
      <w:r>
        <w:t xml:space="preserve"> </w:t>
      </w:r>
      <w:r>
        <w:t xml:space="preserve">dans</w:t>
      </w:r>
      <w:r>
        <w:t xml:space="preserve"> </w:t>
      </w:r>
      <w:r>
        <w:rPr>
          <w:rStyle w:val="VerbatimChar"/>
        </w:rPr>
        <w:t xml:space="preserve">fct_sales</w:t>
      </w:r>
      <w:r>
        <w:t xml:space="preserve">, jointure avec</w:t>
      </w:r>
      <w:r>
        <w:t xml:space="preserve"> </w:t>
      </w:r>
      <w:r>
        <w:rPr>
          <w:rStyle w:val="VerbatimChar"/>
        </w:rPr>
        <w:t xml:space="preserve">dim_products</w:t>
      </w:r>
      <w:r>
        <w:t xml:space="preserve">, tri décroissant. Le premier produit (</w:t>
      </w:r>
      <w:r>
        <w:rPr>
          <w:iCs/>
          <w:i/>
        </w:rPr>
        <w:t xml:space="preserve">Black and orange fragile despatch tape 48mmx75m</w:t>
      </w:r>
      <w:r>
        <w:t xml:space="preserve">, 207 324 unités) est le même que celui obtenu avec une requête écrite à la main.</w:t>
      </w:r>
    </w:p>
    <w:p>
      <w:pPr>
        <w:pStyle w:val="CaptionedFigure"/>
      </w:pPr>
      <w:r>
        <w:drawing>
          <wp:inline>
            <wp:extent cx="5753100" cy="3406243"/>
            <wp:effectExtent b="0" l="0" r="0" t="0"/>
            <wp:docPr descr="Réponse à une question libre, SQL généré par Ollama" title="" id="66" name="Picture"/>
            <a:graphic>
              <a:graphicData uri="http://schemas.openxmlformats.org/drawingml/2006/picture">
                <pic:pic>
                  <pic:nvPicPr>
                    <pic:cNvPr descr="../../captures/capture22.png" id="67" name="Picture"/>
                    <pic:cNvPicPr>
                      <a:picLocks noChangeArrowheads="1" noChangeAspect="1"/>
                    </pic:cNvPicPr>
                  </pic:nvPicPr>
                  <pic:blipFill>
                    <a:blip r:embed="rId65"/>
                    <a:stretch>
                      <a:fillRect/>
                    </a:stretch>
                  </pic:blipFill>
                  <pic:spPr bwMode="auto">
                    <a:xfrm>
                      <a:off x="0" y="0"/>
                      <a:ext cx="5753100" cy="3406243"/>
                    </a:xfrm>
                    <a:prstGeom prst="rect">
                      <a:avLst/>
                    </a:prstGeom>
                    <a:noFill/>
                    <a:ln w="9525">
                      <a:noFill/>
                      <a:headEnd/>
                      <a:tailEnd/>
                    </a:ln>
                  </pic:spPr>
                </pic:pic>
              </a:graphicData>
            </a:graphic>
          </wp:inline>
        </w:drawing>
      </w:r>
    </w:p>
    <w:p>
      <w:pPr>
        <w:pStyle w:val="ImageCaption"/>
      </w:pPr>
      <w:r>
        <w:rPr>
          <w:bCs/>
          <w:b/>
        </w:rPr>
        <w:t xml:space="preserve">Figure 3.6</w:t>
      </w:r>
      <w:r>
        <w:t xml:space="preserve"> – Réponse à une question libre, SQL généré par Ollama</w:t>
      </w:r>
    </w:p>
    <w:p>
      <w:pPr>
        <w:pStyle w:val="CaptionedFigure"/>
      </w:pPr>
      <w:r>
        <w:drawing>
          <wp:inline>
            <wp:extent cx="5753100" cy="3421248"/>
            <wp:effectExtent b="0" l="0" r="0" t="0"/>
            <wp:docPr descr="Requête générée, onglet SQL" title="" id="69" name="Picture"/>
            <a:graphic>
              <a:graphicData uri="http://schemas.openxmlformats.org/drawingml/2006/picture">
                <pic:pic>
                  <pic:nvPicPr>
                    <pic:cNvPr descr="../../captures/Capture23.png" id="70" name="Picture"/>
                    <pic:cNvPicPr>
                      <a:picLocks noChangeArrowheads="1" noChangeAspect="1"/>
                    </pic:cNvPicPr>
                  </pic:nvPicPr>
                  <pic:blipFill>
                    <a:blip r:embed="rId68"/>
                    <a:stretch>
                      <a:fillRect/>
                    </a:stretch>
                  </pic:blipFill>
                  <pic:spPr bwMode="auto">
                    <a:xfrm>
                      <a:off x="0" y="0"/>
                      <a:ext cx="5753100" cy="3421248"/>
                    </a:xfrm>
                    <a:prstGeom prst="rect">
                      <a:avLst/>
                    </a:prstGeom>
                    <a:noFill/>
                    <a:ln w="9525">
                      <a:noFill/>
                      <a:headEnd/>
                      <a:tailEnd/>
                    </a:ln>
                  </pic:spPr>
                </pic:pic>
              </a:graphicData>
            </a:graphic>
          </wp:inline>
        </w:drawing>
      </w:r>
    </w:p>
    <w:p>
      <w:pPr>
        <w:pStyle w:val="ImageCaption"/>
      </w:pPr>
      <w:r>
        <w:rPr>
          <w:bCs/>
          <w:b/>
        </w:rPr>
        <w:t xml:space="preserve">Figure 3.7</w:t>
      </w:r>
      <w:r>
        <w:t xml:space="preserve"> – Requête générée, onglet SQL</w:t>
      </w:r>
    </w:p>
    <w:bookmarkEnd w:id="71"/>
    <w:bookmarkEnd w:id="72"/>
    <w:bookmarkEnd w:id="73"/>
    <w:bookmarkStart w:id="79" w:name="résultats-et-limites"/>
    <w:p>
      <w:pPr>
        <w:pStyle w:val="Heading1"/>
      </w:pPr>
      <w:r>
        <w:rPr>
          <w:rStyle w:val="SectionNumber"/>
        </w:rPr>
        <w:t xml:space="preserve">4</w:t>
      </w:r>
      <w:r>
        <w:tab/>
      </w:r>
      <w:r>
        <w:t xml:space="preserve">Résultats et limites</w:t>
      </w:r>
    </w:p>
    <w:bookmarkStart w:id="75" w:name="résultats"/>
    <w:p>
      <w:pPr>
        <w:pStyle w:val="Heading2"/>
      </w:pPr>
      <w:r>
        <w:rPr>
          <w:rStyle w:val="SectionNumber"/>
        </w:rPr>
        <w:t xml:space="preserve">4.1</w:t>
      </w:r>
      <w:r>
        <w:tab/>
      </w:r>
      <w:r>
        <w:t xml:space="preserve">Résultats</w:t>
      </w:r>
    </w:p>
    <w:p>
      <w:pPr>
        <w:pStyle w:val="FirstParagraph"/>
      </w:pPr>
      <w:r>
        <w:t xml:space="preserve">Le run complet passe sur Snowflake et les dix-huit tests réussissent. Les tables de faits ont le même nombre de lignes que les tables Bronze d’origine (231 412 lignes de commande et 228 265 lignes de facture), donc les jointures n’ont ni perdu ni dupliqué de lignes.</w:t>
      </w:r>
    </w:p>
    <w:bookmarkStart w:id="74" w:name="tab:volumes"/>
    <w:p>
      <w:pPr>
        <w:pStyle w:val="TableCaption"/>
      </w:pPr>
      <w:r>
        <w:rPr>
          <w:bCs/>
          <w:b/>
        </w:rPr>
        <w:t xml:space="preserve">Tableau 4.1</w:t>
      </w:r>
      <w:r>
        <w:t xml:space="preserve"> – Principaux volumes dans Snowflake</w:t>
      </w:r>
    </w:p>
    <w:tbl>
      <w:tblPr>
        <w:tblStyle w:val="Table"/>
        <w:tblW w:type="auto" w:w="0"/>
        <w:tblLook w:firstRow="1" w:lastRow="0" w:firstColumn="0" w:lastColumn="0" w:noHBand="0" w:noVBand="0" w:val="0020"/>
        <w:jc w:val="start"/>
        <w:tblCaption w:val="Tableau 4.1 – Principaux volumes dans Snowflake"/>
      </w:tblPr>
      <w:tblGrid>
        <w:gridCol w:w="2640"/>
        <w:gridCol w:w="2640"/>
        <w:gridCol w:w="2640"/>
      </w:tblGrid>
      <w:tr>
        <w:trPr>
          <w:tblHeader w:val="true"/>
        </w:trPr>
        <w:tc>
          <w:tcPr/>
          <w:p>
            <w:pPr>
              <w:pStyle w:val="Compact"/>
              <w:jc w:val="left"/>
            </w:pPr>
            <w:r>
              <w:t xml:space="preserve">Couche</w:t>
            </w:r>
          </w:p>
        </w:tc>
        <w:tc>
          <w:tcPr/>
          <w:p>
            <w:pPr>
              <w:pStyle w:val="Compact"/>
              <w:jc w:val="left"/>
            </w:pPr>
            <w:r>
              <w:t xml:space="preserve">Table</w:t>
            </w:r>
          </w:p>
        </w:tc>
        <w:tc>
          <w:tcPr/>
          <w:p>
            <w:pPr>
              <w:pStyle w:val="Compact"/>
              <w:jc w:val="right"/>
            </w:pPr>
            <w:r>
              <w:t xml:space="preserve">Lignes</w:t>
            </w:r>
          </w:p>
        </w:tc>
      </w:tr>
      <w:tr>
        <w:tc>
          <w:tcPr/>
          <w:p>
            <w:pPr>
              <w:pStyle w:val="Compact"/>
              <w:jc w:val="left"/>
            </w:pPr>
            <w:r>
              <w:t xml:space="preserve">Bronze</w:t>
            </w:r>
          </w:p>
        </w:tc>
        <w:tc>
          <w:tcPr/>
          <w:p>
            <w:pPr>
              <w:pStyle w:val="Compact"/>
              <w:jc w:val="left"/>
            </w:pPr>
            <w:r>
              <w:rPr>
                <w:rStyle w:val="VerbatimChar"/>
              </w:rPr>
              <w:t xml:space="preserve">order_lines</w:t>
            </w:r>
          </w:p>
        </w:tc>
        <w:tc>
          <w:tcPr/>
          <w:p>
            <w:pPr>
              <w:pStyle w:val="Compact"/>
              <w:jc w:val="right"/>
            </w:pPr>
            <w:r>
              <w:t xml:space="preserve">231 412</w:t>
            </w:r>
          </w:p>
        </w:tc>
      </w:tr>
      <w:tr>
        <w:tc>
          <w:tcPr/>
          <w:p>
            <w:pPr>
              <w:pStyle w:val="Compact"/>
              <w:jc w:val="left"/>
            </w:pPr>
            <w:r>
              <w:t xml:space="preserve">Bronze</w:t>
            </w:r>
          </w:p>
        </w:tc>
        <w:tc>
          <w:tcPr/>
          <w:p>
            <w:pPr>
              <w:pStyle w:val="Compact"/>
              <w:jc w:val="left"/>
            </w:pPr>
            <w:r>
              <w:rPr>
                <w:rStyle w:val="VerbatimChar"/>
              </w:rPr>
              <w:t xml:space="preserve">invoice_lines</w:t>
            </w:r>
          </w:p>
        </w:tc>
        <w:tc>
          <w:tcPr/>
          <w:p>
            <w:pPr>
              <w:pStyle w:val="Compact"/>
              <w:jc w:val="right"/>
            </w:pPr>
            <w:r>
              <w:t xml:space="preserve">228 265</w:t>
            </w:r>
          </w:p>
        </w:tc>
      </w:tr>
      <w:tr>
        <w:tc>
          <w:tcPr/>
          <w:p>
            <w:pPr>
              <w:pStyle w:val="Compact"/>
              <w:jc w:val="left"/>
            </w:pPr>
            <w:r>
              <w:t xml:space="preserve">Bronze</w:t>
            </w:r>
          </w:p>
        </w:tc>
        <w:tc>
          <w:tcPr/>
          <w:p>
            <w:pPr>
              <w:pStyle w:val="Compact"/>
              <w:jc w:val="left"/>
            </w:pPr>
            <w:r>
              <w:rPr>
                <w:rStyle w:val="VerbatimChar"/>
              </w:rPr>
              <w:t xml:space="preserve">orders</w:t>
            </w:r>
          </w:p>
        </w:tc>
        <w:tc>
          <w:tcPr/>
          <w:p>
            <w:pPr>
              <w:pStyle w:val="Compact"/>
              <w:jc w:val="right"/>
            </w:pPr>
            <w:r>
              <w:t xml:space="preserve">73 595</w:t>
            </w:r>
          </w:p>
        </w:tc>
      </w:tr>
      <w:tr>
        <w:tc>
          <w:tcPr/>
          <w:p>
            <w:pPr>
              <w:pStyle w:val="Compact"/>
              <w:jc w:val="left"/>
            </w:pPr>
            <w:r>
              <w:t xml:space="preserve">Gold</w:t>
            </w:r>
          </w:p>
        </w:tc>
        <w:tc>
          <w:tcPr/>
          <w:p>
            <w:pPr>
              <w:pStyle w:val="Compact"/>
              <w:jc w:val="left"/>
            </w:pPr>
            <w:r>
              <w:rPr>
                <w:rStyle w:val="VerbatimChar"/>
              </w:rPr>
              <w:t xml:space="preserve">fct_sales</w:t>
            </w:r>
          </w:p>
        </w:tc>
        <w:tc>
          <w:tcPr/>
          <w:p>
            <w:pPr>
              <w:pStyle w:val="Compact"/>
              <w:jc w:val="right"/>
            </w:pPr>
            <w:r>
              <w:t xml:space="preserve">231 412</w:t>
            </w:r>
          </w:p>
        </w:tc>
      </w:tr>
      <w:tr>
        <w:tc>
          <w:tcPr/>
          <w:p>
            <w:pPr>
              <w:pStyle w:val="Compact"/>
              <w:jc w:val="left"/>
            </w:pPr>
            <w:r>
              <w:t xml:space="preserve">Gold</w:t>
            </w:r>
          </w:p>
        </w:tc>
        <w:tc>
          <w:tcPr/>
          <w:p>
            <w:pPr>
              <w:pStyle w:val="Compact"/>
              <w:jc w:val="left"/>
            </w:pPr>
            <w:r>
              <w:rPr>
                <w:rStyle w:val="VerbatimChar"/>
              </w:rPr>
              <w:t xml:space="preserve">fct_invoice_lines</w:t>
            </w:r>
          </w:p>
        </w:tc>
        <w:tc>
          <w:tcPr/>
          <w:p>
            <w:pPr>
              <w:pStyle w:val="Compact"/>
              <w:jc w:val="right"/>
            </w:pPr>
            <w:r>
              <w:t xml:space="preserve">228 265</w:t>
            </w:r>
          </w:p>
        </w:tc>
      </w:tr>
      <w:tr>
        <w:tc>
          <w:tcPr/>
          <w:p>
            <w:pPr>
              <w:pStyle w:val="Compact"/>
              <w:jc w:val="left"/>
            </w:pPr>
            <w:r>
              <w:t xml:space="preserve">Gold</w:t>
            </w:r>
          </w:p>
        </w:tc>
        <w:tc>
          <w:tcPr/>
          <w:p>
            <w:pPr>
              <w:pStyle w:val="Compact"/>
              <w:jc w:val="left"/>
            </w:pPr>
            <w:r>
              <w:rPr>
                <w:rStyle w:val="VerbatimChar"/>
              </w:rPr>
              <w:t xml:space="preserve">dim_date</w:t>
            </w:r>
          </w:p>
        </w:tc>
        <w:tc>
          <w:tcPr/>
          <w:p>
            <w:pPr>
              <w:pStyle w:val="Compact"/>
              <w:jc w:val="right"/>
            </w:pPr>
            <w:r>
              <w:t xml:space="preserve">1 461</w:t>
            </w:r>
          </w:p>
        </w:tc>
      </w:tr>
      <w:tr>
        <w:tc>
          <w:tcPr/>
          <w:p>
            <w:pPr>
              <w:pStyle w:val="Compact"/>
              <w:jc w:val="left"/>
            </w:pPr>
            <w:r>
              <w:t xml:space="preserve">Gold</w:t>
            </w:r>
          </w:p>
        </w:tc>
        <w:tc>
          <w:tcPr/>
          <w:p>
            <w:pPr>
              <w:pStyle w:val="Compact"/>
              <w:jc w:val="left"/>
            </w:pPr>
            <w:r>
              <w:rPr>
                <w:rStyle w:val="VerbatimChar"/>
              </w:rPr>
              <w:t xml:space="preserve">dim_customers</w:t>
            </w:r>
          </w:p>
        </w:tc>
        <w:tc>
          <w:tcPr/>
          <w:p>
            <w:pPr>
              <w:pStyle w:val="Compact"/>
              <w:jc w:val="right"/>
            </w:pPr>
            <w:r>
              <w:t xml:space="preserve">663</w:t>
            </w:r>
          </w:p>
        </w:tc>
      </w:tr>
      <w:tr>
        <w:tc>
          <w:tcPr/>
          <w:p>
            <w:pPr>
              <w:pStyle w:val="Compact"/>
              <w:jc w:val="left"/>
            </w:pPr>
            <w:r>
              <w:t xml:space="preserve">Gold</w:t>
            </w:r>
          </w:p>
        </w:tc>
        <w:tc>
          <w:tcPr/>
          <w:p>
            <w:pPr>
              <w:pStyle w:val="Compact"/>
              <w:jc w:val="left"/>
            </w:pPr>
            <w:r>
              <w:rPr>
                <w:rStyle w:val="VerbatimChar"/>
              </w:rPr>
              <w:t xml:space="preserve">dim_products</w:t>
            </w:r>
          </w:p>
        </w:tc>
        <w:tc>
          <w:tcPr/>
          <w:p>
            <w:pPr>
              <w:pStyle w:val="Compact"/>
              <w:jc w:val="right"/>
            </w:pPr>
            <w:r>
              <w:t xml:space="preserve">227</w:t>
            </w:r>
          </w:p>
        </w:tc>
      </w:tr>
      <w:tr>
        <w:tc>
          <w:tcPr/>
          <w:p>
            <w:pPr>
              <w:pStyle w:val="Compact"/>
              <w:jc w:val="left"/>
            </w:pPr>
            <w:r>
              <w:t xml:space="preserve">Gold</w:t>
            </w:r>
          </w:p>
        </w:tc>
        <w:tc>
          <w:tcPr/>
          <w:p>
            <w:pPr>
              <w:pStyle w:val="Compact"/>
              <w:jc w:val="left"/>
            </w:pPr>
            <w:r>
              <w:rPr>
                <w:rStyle w:val="VerbatimChar"/>
              </w:rPr>
              <w:t xml:space="preserve">dim_salespeople</w:t>
            </w:r>
          </w:p>
        </w:tc>
        <w:tc>
          <w:tcPr/>
          <w:p>
            <w:pPr>
              <w:pStyle w:val="Compact"/>
              <w:jc w:val="right"/>
            </w:pPr>
            <w:r>
              <w:t xml:space="preserve">10</w:t>
            </w:r>
          </w:p>
        </w:tc>
      </w:tr>
    </w:tbl>
    <w:bookmarkEnd w:id="74"/>
    <w:p>
      <w:pPr>
        <w:pStyle w:val="BodyText"/>
      </w:pPr>
      <w:r>
        <w:t xml:space="preserve">Pour les trois questions du sujet, l’application donne les résultats suivants :</w:t>
      </w:r>
    </w:p>
    <w:p>
      <w:pPr>
        <w:numPr>
          <w:ilvl w:val="0"/>
          <w:numId w:val="1002"/>
        </w:numPr>
        <w:pStyle w:val="Compact"/>
      </w:pPr>
      <w:r>
        <w:rPr>
          <w:bCs/>
          <w:b/>
        </w:rPr>
        <w:t xml:space="preserve">Meilleurs clients.</w:t>
      </w:r>
      <w:r>
        <w:t xml:space="preserve"> </w:t>
      </w:r>
      <w:r>
        <w:t xml:space="preserve">Le premier est</w:t>
      </w:r>
      <w:r>
        <w:t xml:space="preserve"> </w:t>
      </w:r>
      <w:r>
        <w:rPr>
          <w:iCs/>
          <w:i/>
        </w:rPr>
        <w:t xml:space="preserve">Tailspin Toys (Inguadona, MN)</w:t>
      </w:r>
      <w:r>
        <w:t xml:space="preserve"> </w:t>
      </w:r>
      <w:r>
        <w:t xml:space="preserve">avec 384 393 $ de CA HT. Les dix premiers ne font que 3,71 M$ sur 177,6 M$ au total (2,1 %) : la clientèle est très dispersée.</w:t>
      </w:r>
    </w:p>
    <w:p>
      <w:pPr>
        <w:numPr>
          <w:ilvl w:val="0"/>
          <w:numId w:val="1002"/>
        </w:numPr>
        <w:pStyle w:val="Compact"/>
      </w:pPr>
      <w:r>
        <w:rPr>
          <w:bCs/>
          <w:b/>
        </w:rPr>
        <w:t xml:space="preserve">Ventes par mois.</w:t>
      </w:r>
      <w:r>
        <w:t xml:space="preserve"> </w:t>
      </w:r>
      <w:r>
        <w:t xml:space="preserve">En moyenne 4,33 M$ par mois, avec un minimum en février 2013 (2,82 M$) et un maximum en juillet 2015 (5,34 M$). Le CA annuel progresse d’environ 9 % par an entre 2013 et 2015.</w:t>
      </w:r>
    </w:p>
    <w:p>
      <w:pPr>
        <w:numPr>
          <w:ilvl w:val="0"/>
          <w:numId w:val="1002"/>
        </w:numPr>
        <w:pStyle w:val="Compact"/>
      </w:pPr>
      <w:r>
        <w:rPr>
          <w:bCs/>
          <w:b/>
        </w:rPr>
        <w:t xml:space="preserve">Produits les plus rentables.</w:t>
      </w:r>
      <w:r>
        <w:t xml:space="preserve"> </w:t>
      </w:r>
      <w:r>
        <w:t xml:space="preserve">Le papier bulle double face 20 mm (5,29 M$ de bénéfice) puis la machine à coussins d’air bleue (4,44 M$). Le bénéfice total est de 85,7 M$.</w:t>
      </w:r>
    </w:p>
    <w:p>
      <w:pPr>
        <w:pStyle w:val="FirstParagraph"/>
      </w:pPr>
      <w:r>
        <w:t xml:space="preserve">Côté temps de réponse, le SQL d’une question libre met entre 29 et 37 s à être généré par Ollama, sur un ordinateur portable sans carte graphique. Une question déjà posée répond presque tout de suite (environ 0,3 s) parce que le SQL généré est mis en cache.</w:t>
      </w:r>
    </w:p>
    <w:p>
      <w:pPr>
        <w:pStyle w:val="BodyText"/>
      </w:pPr>
      <w:r>
        <w:t xml:space="preserve">Nous n’avons testé qu’un petit nombre de questions libres. Celles que nous avons posées ont donné un SQL correct, mais c’est trop peu pour annoncer un taux de réussite.</w:t>
      </w:r>
    </w:p>
    <w:bookmarkEnd w:id="75"/>
    <w:bookmarkStart w:id="77" w:name="difficultés-rencontrées"/>
    <w:p>
      <w:pPr>
        <w:pStyle w:val="Heading2"/>
      </w:pPr>
      <w:r>
        <w:rPr>
          <w:rStyle w:val="SectionNumber"/>
        </w:rPr>
        <w:t xml:space="preserve">4.2</w:t>
      </w:r>
      <w:r>
        <w:tab/>
      </w:r>
      <w:r>
        <w:t xml:space="preserve">Difficultés rencontrées</w:t>
      </w:r>
    </w:p>
    <w:bookmarkStart w:id="76" w:name="tab:difficultes"/>
    <w:p>
      <w:pPr>
        <w:pStyle w:val="TableCaption"/>
      </w:pPr>
      <w:r>
        <w:rPr>
          <w:bCs/>
          <w:b/>
        </w:rPr>
        <w:t xml:space="preserve">Tableau 4.2</w:t>
      </w:r>
      <w:r>
        <w:t xml:space="preserve"> – Principales difficultés</w:t>
      </w:r>
    </w:p>
    <w:tbl>
      <w:tblPr>
        <w:tblStyle w:val="Table"/>
        <w:tblW w:type="pct" w:w="5000"/>
        <w:tblLook w:firstRow="1" w:lastRow="0" w:firstColumn="0" w:lastColumn="0" w:noHBand="0" w:noVBand="0" w:val="0020"/>
        <w:jc w:val="start"/>
        <w:tblCaption w:val="Tableau 4.2 – Principales difficultés"/>
      </w:tblPr>
      <w:tblGrid>
        <w:gridCol w:w="3745"/>
        <w:gridCol w:w="4174"/>
      </w:tblGrid>
      <w:tr>
        <w:trPr>
          <w:tblHeader w:val="true"/>
        </w:trPr>
        <w:tc>
          <w:tcPr/>
          <w:p>
            <w:pPr>
              <w:pStyle w:val="Compact"/>
              <w:jc w:val="left"/>
            </w:pPr>
            <w:r>
              <w:t xml:space="preserve">Problème</w:t>
            </w:r>
          </w:p>
        </w:tc>
        <w:tc>
          <w:tcPr/>
          <w:p>
            <w:pPr>
              <w:pStyle w:val="Compact"/>
              <w:jc w:val="left"/>
            </w:pPr>
            <w:r>
              <w:t xml:space="preserve">Solution</w:t>
            </w:r>
          </w:p>
        </w:tc>
      </w:tr>
      <w:tr>
        <w:tc>
          <w:tcPr/>
          <w:p>
            <w:pPr>
              <w:pStyle w:val="Compact"/>
              <w:jc w:val="left"/>
            </w:pPr>
            <w:r>
              <w:t xml:space="preserve">Tables introuvables dans dbt</w:t>
            </w:r>
            <w:r>
              <w:t xml:space="preserve"> </w:t>
            </w:r>
            <w:r>
              <w:t xml:space="preserve">(noms renommés par DLT)</w:t>
            </w:r>
          </w:p>
        </w:tc>
        <w:tc>
          <w:tcPr/>
          <w:p>
            <w:pPr>
              <w:pStyle w:val="Compact"/>
              <w:jc w:val="left"/>
            </w:pPr>
            <w:r>
              <w:rPr>
                <w:rStyle w:val="VerbatimChar"/>
              </w:rPr>
              <w:t xml:space="preserve">identifier</w:t>
            </w:r>
            <w:r>
              <w:t xml:space="preserve"> </w:t>
            </w:r>
            <w:r>
              <w:t xml:space="preserve">dans les sources dbt</w:t>
            </w:r>
          </w:p>
        </w:tc>
      </w:tr>
      <w:tr>
        <w:tc>
          <w:tcPr/>
          <w:p>
            <w:pPr>
              <w:pStyle w:val="Compact"/>
              <w:jc w:val="left"/>
            </w:pPr>
            <w:r>
              <w:t xml:space="preserve">Étape dbt absente de Dagster</w:t>
            </w:r>
          </w:p>
        </w:tc>
        <w:tc>
          <w:tcPr/>
          <w:p>
            <w:pPr>
              <w:pStyle w:val="Compact"/>
              <w:jc w:val="left"/>
            </w:pPr>
            <w:r>
              <w:t xml:space="preserve">renommer</w:t>
            </w:r>
            <w:r>
              <w:t xml:space="preserve"> </w:t>
            </w:r>
            <w:r>
              <w:rPr>
                <w:rStyle w:val="VerbatimChar"/>
              </w:rPr>
              <w:t xml:space="preserve">defs.yml</w:t>
            </w:r>
            <w:r>
              <w:t xml:space="preserve"> </w:t>
            </w:r>
            <w:r>
              <w:t xml:space="preserve">en</w:t>
            </w:r>
            <w:r>
              <w:t xml:space="preserve"> </w:t>
            </w:r>
            <w:r>
              <w:rPr>
                <w:rStyle w:val="VerbatimChar"/>
              </w:rPr>
              <w:t xml:space="preserve">defs.yaml</w:t>
            </w:r>
          </w:p>
        </w:tc>
      </w:tr>
      <w:tr>
        <w:tc>
          <w:tcPr/>
          <w:p>
            <w:pPr>
              <w:pStyle w:val="Compact"/>
              <w:jc w:val="left"/>
            </w:pPr>
            <w:r>
              <w:rPr>
                <w:rStyle w:val="VerbatimChar"/>
              </w:rPr>
              <w:t xml:space="preserve">$HOME</w:t>
            </w:r>
            <w:r>
              <w:t xml:space="preserve"> </w:t>
            </w:r>
            <w:r>
              <w:t xml:space="preserve">non remplacé dans le</w:t>
            </w:r>
            <w:r>
              <w:t xml:space="preserve"> </w:t>
            </w:r>
            <w:r>
              <w:t xml:space="preserve">chemin DuckDB (.env)</w:t>
            </w:r>
          </w:p>
        </w:tc>
        <w:tc>
          <w:tcPr/>
          <w:p>
            <w:pPr>
              <w:pStyle w:val="Compact"/>
              <w:jc w:val="left"/>
            </w:pPr>
            <w:r>
              <w:rPr>
                <w:rStyle w:val="VerbatimChar"/>
              </w:rPr>
              <w:t xml:space="preserve">expandvars</w:t>
            </w:r>
            <w:r>
              <w:t xml:space="preserve"> </w:t>
            </w:r>
            <w:r>
              <w:t xml:space="preserve">dans le code,</w:t>
            </w:r>
            <w:r>
              <w:t xml:space="preserve"> </w:t>
            </w:r>
            <w:r>
              <w:rPr>
                <w:rStyle w:val="VerbatimChar"/>
              </w:rPr>
              <w:t xml:space="preserve">replace</w:t>
            </w:r>
            <w:r>
              <w:t xml:space="preserve"> </w:t>
            </w:r>
            <w:r>
              <w:t xml:space="preserve">dans le profil dbt</w:t>
            </w:r>
          </w:p>
        </w:tc>
      </w:tr>
      <w:tr>
        <w:tc>
          <w:tcPr/>
          <w:p>
            <w:pPr>
              <w:pStyle w:val="Compact"/>
              <w:jc w:val="left"/>
            </w:pPr>
            <w:r>
              <w:rPr>
                <w:iCs/>
                <w:i/>
              </w:rPr>
              <w:t xml:space="preserve">Insufficient privileges</w:t>
            </w:r>
            <w:r>
              <w:t xml:space="preserve"> </w:t>
            </w:r>
            <w:r>
              <w:t xml:space="preserve">sur</w:t>
            </w:r>
            <w:r>
              <w:t xml:space="preserve"> </w:t>
            </w:r>
            <w:r>
              <w:t xml:space="preserve">les schémas Snowflake</w:t>
            </w:r>
          </w:p>
        </w:tc>
        <w:tc>
          <w:tcPr/>
          <w:p>
            <w:pPr>
              <w:pStyle w:val="Compact"/>
              <w:jc w:val="left"/>
            </w:pPr>
            <w:r>
              <w:t xml:space="preserve">propriété des schémas donnée à</w:t>
            </w:r>
            <w:r>
              <w:t xml:space="preserve"> </w:t>
            </w:r>
            <w:r>
              <w:rPr>
                <w:rStyle w:val="VerbatimChar"/>
              </w:rPr>
              <w:t xml:space="preserve">PFPB_ROLE</w:t>
            </w:r>
          </w:p>
        </w:tc>
      </w:tr>
      <w:tr>
        <w:tc>
          <w:tcPr/>
          <w:p>
            <w:pPr>
              <w:pStyle w:val="Compact"/>
              <w:jc w:val="left"/>
            </w:pPr>
            <w:r>
              <w:t xml:space="preserve">Cortex refusé (compte d’essai)</w:t>
            </w:r>
          </w:p>
        </w:tc>
        <w:tc>
          <w:tcPr/>
          <w:p>
            <w:pPr>
              <w:pStyle w:val="Compact"/>
              <w:jc w:val="left"/>
            </w:pPr>
            <w:r>
              <w:t xml:space="preserve">repli sur Ollama</w:t>
            </w:r>
          </w:p>
        </w:tc>
      </w:tr>
    </w:tbl>
    <w:bookmarkEnd w:id="76"/>
    <w:bookmarkEnd w:id="77"/>
    <w:bookmarkStart w:id="78" w:name="limites"/>
    <w:p>
      <w:pPr>
        <w:pStyle w:val="Heading2"/>
      </w:pPr>
      <w:r>
        <w:rPr>
          <w:rStyle w:val="SectionNumber"/>
        </w:rPr>
        <w:t xml:space="preserve">4.3</w:t>
      </w:r>
      <w:r>
        <w:tab/>
      </w:r>
      <w:r>
        <w:t xml:space="preserve">Limites</w:t>
      </w:r>
    </w:p>
    <w:p>
      <w:pPr>
        <w:pStyle w:val="FirstParagraph"/>
      </w:pPr>
      <w:r>
        <w:t xml:space="preserve">La solution a plusieurs limites. Cortex n’a pas pu être testé, faute de compte payant. La génération avec Ollama est trop lente pour un usage réel ; il faudrait une carte graphique ou un modèle hébergé. L’application se connecte avec</w:t>
      </w:r>
      <w:r>
        <w:t xml:space="preserve"> </w:t>
      </w:r>
      <w:r>
        <w:rPr>
          <w:rStyle w:val="VerbatimChar"/>
        </w:rPr>
        <w:t xml:space="preserve">PFPB_ROLE</w:t>
      </w:r>
      <w:r>
        <w:t xml:space="preserve">, qui a les droits d’écriture :</w:t>
      </w:r>
      <w:r>
        <w:t xml:space="preserve"> </w:t>
      </w:r>
      <w:r>
        <w:rPr>
          <w:rStyle w:val="VerbatimChar"/>
        </w:rPr>
        <w:t xml:space="preserve">clean_sql</w:t>
      </w:r>
      <w:r>
        <w:t xml:space="preserve"> </w:t>
      </w:r>
      <w:r>
        <w:t xml:space="preserve">bloque les requêtes dangereuses, mais il faudrait surtout un rôle en lecture seule sur</w:t>
      </w:r>
      <w:r>
        <w:t xml:space="preserve"> </w:t>
      </w:r>
      <w:r>
        <w:rPr>
          <w:rStyle w:val="VerbatimChar"/>
        </w:rPr>
        <w:t xml:space="preserve">GOLD</w:t>
      </w:r>
      <w:r>
        <w:t xml:space="preserve">. Le jeton de session dans l’adresse n’est pas idéal non plus, car il peut être partagé par erreur avec un lien. Enfin, les dimensions ne gardent pas l’historique (si un client change de ville, l’ancienne valeur est perdue).</w:t>
      </w:r>
    </w:p>
    <w:bookmarkEnd w:id="78"/>
    <w:bookmarkEnd w:id="79"/>
    <w:bookmarkStart w:id="80" w:name="conclusion"/>
    <w:p>
      <w:pPr>
        <w:pStyle w:val="Heading1"/>
      </w:pPr>
      <w:r>
        <w:t xml:space="preserve">Conclusion</w:t>
      </w:r>
    </w:p>
    <w:p>
      <w:pPr>
        <w:pStyle w:val="FirstParagraph"/>
      </w:pPr>
      <w:r>
        <w:t xml:space="preserve">La chaîne demandée fonctionne de bout en bout : DLT charge dix tables de SQL Server dans Snowflake, dbt construit les couches Silver et Gold et les teste, et Dagster lance le tout chaque nuit en un peu plus de sept minutes. L’application répond aux trois questions du sujet et à des questions libres, en vérifiant chaque requête avant de l’exécuter.</w:t>
      </w:r>
    </w:p>
    <w:p>
      <w:pPr>
        <w:pStyle w:val="BodyText"/>
      </w:pPr>
      <w:r>
        <w:t xml:space="preserve">Ce qui nous a pris le plus de temps, ce n’est pas l’écriture des modèles mais les petits problèmes entre les outils : noms renommés par DLT, extension de fichier ignorée par Dagster, propriété des schémas dans Snowflake. Commencer en local avec DuckDB a beaucoup aidé, parce que nous avons pu corriger ces erreurs sans consommer de crédits.</w:t>
      </w:r>
    </w:p>
    <w:p>
      <w:pPr>
        <w:pStyle w:val="BodyText"/>
      </w:pPr>
      <w:r>
        <w:t xml:space="preserve">Pour la suite, il faudrait tester Cortex sur un compte payant, préparer un vrai jeu de questions pour évaluer le Text-to-SQL, créer un rôle en lecture seule pour l’application et ajouter les achats et les stocks au modèle.</w:t>
      </w:r>
    </w:p>
    <w:bookmarkEnd w:id="80"/>
    <w:bookmarkStart w:id="81" w:name="annexe-commandes-principales"/>
    <w:p>
      <w:pPr>
        <w:pStyle w:val="Heading1"/>
      </w:pPr>
      <w:r>
        <w:t xml:space="preserve">Annexe : commandes principales</w:t>
      </w:r>
    </w:p>
    <w:p>
      <w:pPr>
        <w:pStyle w:val="SourceCode"/>
      </w:pPr>
      <w:r>
        <w:rPr>
          <w:rStyle w:val="ExtensionTok"/>
        </w:rPr>
        <w:t xml:space="preserve">uv</w:t>
      </w:r>
      <w:r>
        <w:rPr>
          <w:rStyle w:val="NormalTok"/>
        </w:rPr>
        <w:t xml:space="preserve"> sync </w:t>
      </w:r>
      <w:r>
        <w:rPr>
          <w:rStyle w:val="KeywordTok"/>
        </w:rPr>
        <w:t xml:space="preserve">&amp;&amp;</w:t>
      </w:r>
      <w:r>
        <w:rPr>
          <w:rStyle w:val="NormalTok"/>
        </w:rPr>
        <w:t xml:space="preserve"> </w:t>
      </w:r>
      <w:r>
        <w:rPr>
          <w:rStyle w:val="BuiltInTok"/>
        </w:rPr>
        <w:t xml:space="preserve">source</w:t>
      </w:r>
      <w:r>
        <w:rPr>
          <w:rStyle w:val="NormalTok"/>
        </w:rPr>
        <w:t xml:space="preserve"> .venv/bin/activate</w:t>
      </w:r>
      <w:r>
        <w:br/>
      </w:r>
      <w:r>
        <w:br/>
      </w:r>
      <w:r>
        <w:rPr>
          <w:rStyle w:val="CommentTok"/>
        </w:rPr>
        <w:t xml:space="preserve"># Pipeline sur Snowflake</w:t>
      </w:r>
      <w:r>
        <w:br/>
      </w:r>
      <w:r>
        <w:rPr>
          <w:rStyle w:val="BuiltInTok"/>
        </w:rPr>
        <w:t xml:space="preserve">export</w:t>
      </w:r>
      <w:r>
        <w:rPr>
          <w:rStyle w:val="NormalTok"/>
        </w:rPr>
        <w:t xml:space="preserve"> </w:t>
      </w:r>
      <w:r>
        <w:rPr>
          <w:rStyle w:val="VariableTok"/>
        </w:rPr>
        <w:t xml:space="preserve">DLT_DESTINATION</w:t>
      </w:r>
      <w:r>
        <w:rPr>
          <w:rStyle w:val="OperatorTok"/>
        </w:rPr>
        <w:t xml:space="preserve">=</w:t>
      </w:r>
      <w:r>
        <w:rPr>
          <w:rStyle w:val="NormalTok"/>
        </w:rPr>
        <w:t xml:space="preserve">snowflake </w:t>
      </w:r>
      <w:r>
        <w:rPr>
          <w:rStyle w:val="VariableTok"/>
        </w:rPr>
        <w:t xml:space="preserve">DBT_TARGET</w:t>
      </w:r>
      <w:r>
        <w:rPr>
          <w:rStyle w:val="OperatorTok"/>
        </w:rPr>
        <w:t xml:space="preserve">=</w:t>
      </w:r>
      <w:r>
        <w:rPr>
          <w:rStyle w:val="NormalTok"/>
        </w:rPr>
        <w:t xml:space="preserve">prod</w:t>
      </w:r>
      <w:r>
        <w:br/>
      </w:r>
      <w:r>
        <w:rPr>
          <w:rStyle w:val="BuiltInTok"/>
        </w:rPr>
        <w:t xml:space="preserve">export</w:t>
      </w:r>
      <w:r>
        <w:rPr>
          <w:rStyle w:val="NormalTok"/>
        </w:rPr>
        <w:t xml:space="preserve"> </w:t>
      </w:r>
      <w:r>
        <w:rPr>
          <w:rStyle w:val="VariableTok"/>
        </w:rPr>
        <w:t xml:space="preserve">SF_ACCOUNT</w:t>
      </w:r>
      <w:r>
        <w:rPr>
          <w:rStyle w:val="OperatorTok"/>
        </w:rPr>
        <w:t xml:space="preserve">=&lt;</w:t>
      </w:r>
      <w:r>
        <w:rPr>
          <w:rStyle w:val="NormalTok"/>
        </w:rPr>
        <w:t xml:space="preserve">compte</w:t>
      </w:r>
      <w:r>
        <w:rPr>
          <w:rStyle w:val="OperatorTok"/>
        </w:rPr>
        <w:t xml:space="preserve">&gt;</w:t>
      </w:r>
      <w:r>
        <w:rPr>
          <w:rStyle w:val="NormalTok"/>
        </w:rPr>
        <w:t xml:space="preserve"> SF_USER=</w:t>
      </w:r>
      <w:r>
        <w:rPr>
          <w:rStyle w:val="OperatorTok"/>
        </w:rPr>
        <w:t xml:space="preserve">&lt;</w:t>
      </w:r>
      <w:r>
        <w:rPr>
          <w:rStyle w:val="NormalTok"/>
        </w:rPr>
        <w:t xml:space="preserve">utilisateur</w:t>
      </w:r>
      <w:r>
        <w:rPr>
          <w:rStyle w:val="OperatorTok"/>
        </w:rPr>
        <w:t xml:space="preserve">&gt;</w:t>
      </w:r>
      <w:r>
        <w:rPr>
          <w:rStyle w:val="NormalTok"/>
        </w:rPr>
        <w:t xml:space="preserve"> SF_PASSWORD=</w:t>
      </w:r>
      <w:r>
        <w:rPr>
          <w:rStyle w:val="StringTok"/>
        </w:rPr>
        <w:t xml:space="preserve">'&lt;mot_de_passe&gt;'</w:t>
      </w:r>
      <w:r>
        <w:br/>
      </w:r>
      <w:r>
        <w:rPr>
          <w:rStyle w:val="ExtensionTok"/>
        </w:rPr>
        <w:t xml:space="preserve">dg</w:t>
      </w:r>
      <w:r>
        <w:rPr>
          <w:rStyle w:val="NormalTok"/>
        </w:rPr>
        <w:t xml:space="preserve"> list defs          </w:t>
      </w:r>
      <w:r>
        <w:rPr>
          <w:rStyle w:val="CommentTok"/>
        </w:rPr>
        <w:t xml:space="preserve"># vérifier les actifs chargés</w:t>
      </w:r>
      <w:r>
        <w:br/>
      </w:r>
      <w:r>
        <w:rPr>
          <w:rStyle w:val="ExtensionTok"/>
        </w:rPr>
        <w:t xml:space="preserve">dg</w:t>
      </w:r>
      <w:r>
        <w:rPr>
          <w:rStyle w:val="NormalTok"/>
        </w:rPr>
        <w:t xml:space="preserve"> dev                </w:t>
      </w:r>
      <w:r>
        <w:rPr>
          <w:rStyle w:val="CommentTok"/>
        </w:rPr>
        <w:t xml:space="preserve"># http://localhost:3000, puis « Materialize all »</w:t>
      </w:r>
      <w:r>
        <w:br/>
      </w:r>
      <w:r>
        <w:br/>
      </w:r>
      <w:r>
        <w:rPr>
          <w:rStyle w:val="CommentTok"/>
        </w:rPr>
        <w:t xml:space="preserve"># Application</w:t>
      </w:r>
      <w:r>
        <w:br/>
      </w:r>
      <w:r>
        <w:rPr>
          <w:rStyle w:val="ExtensionTok"/>
        </w:rPr>
        <w:t xml:space="preserve">ollama</w:t>
      </w:r>
      <w:r>
        <w:rPr>
          <w:rStyle w:val="NormalTok"/>
        </w:rPr>
        <w:t xml:space="preserve"> pull qwen2.5-coder:7b</w:t>
      </w:r>
      <w:r>
        <w:br/>
      </w:r>
      <w:r>
        <w:rPr>
          <w:rStyle w:val="ExtensionTok"/>
        </w:rPr>
        <w:t xml:space="preserve">streamlit</w:t>
      </w:r>
      <w:r>
        <w:rPr>
          <w:rStyle w:val="NormalTok"/>
        </w:rPr>
        <w:t xml:space="preserve"> run presentation_app/app.py      </w:t>
      </w:r>
      <w:r>
        <w:rPr>
          <w:rStyle w:val="CommentTok"/>
        </w:rPr>
        <w:t xml:space="preserve"># http://localhost:8501</w:t>
      </w:r>
    </w:p>
    <w:bookmarkEnd w:id="81"/>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Calibri" w:cs="Calibri" w:eastAsia="Calibri" w:hAnsi="Calibri"/>
      <w:color w:val="0F1B2D"/>
      <w:sz w:val="22"/>
    </w:rPr>
  </w:style>
  <w:style w:styleId="BodyText" w:type="paragraph">
    <w:name w:val="Body Text"/>
    <w:basedOn w:val="Normal"/>
    <w:link w:val="BodyTextChar"/>
    <w:pPr>
      <w:spacing w:after="120" w:before="180" w:line="276" w:lineRule="auto"/>
    </w:pPr>
    <w:qFormat/>
    <w:rPr>
      <w:rFonts w:ascii="Calibri" w:cs="Calibri" w:eastAsia="Calibri" w:hAnsi="Calibri"/>
      <w:color w:val="0F1B2D"/>
      <w:sz w:val="22"/>
    </w:rPr>
  </w:style>
  <w:style w:customStyle="1" w:styleId="FirstParagraph" w:type="paragraph">
    <w:name w:val="First Paragraph"/>
    <w:basedOn w:val="BodyText"/>
    <w:next w:val="BodyText"/>
    <w:qFormat/>
    <w:pPr>
      <w:spacing w:after="120" w:line="276" w:lineRule="auto"/>
    </w:pPr>
    <w:rPr>
      <w:rFonts w:ascii="Calibri" w:cs="Calibri" w:eastAsia="Calibri" w:hAnsi="Calibri"/>
      <w:color w:val="0F1B2D"/>
      <w:sz w:val="22"/>
    </w:rPr>
  </w:style>
  <w:style w:customStyle="1" w:styleId="Compact" w:type="paragraph">
    <w:name w:val="Compact"/>
    <w:basedOn w:val="BodyText"/>
    <w:qFormat/>
    <w:pPr>
      <w:spacing w:after="120" w:before="36" w:line="276" w:lineRule="auto"/>
    </w:pPr>
    <w:rPr>
      <w:rFonts w:ascii="Calibri" w:cs="Calibri" w:eastAsia="Calibri" w:hAnsi="Calibri"/>
      <w:color w:val="0F1B2D"/>
      <w:sz w:val="22"/>
    </w:rPr>
  </w:style>
  <w:style w:styleId="Title" w:type="paragraph">
    <w:name w:val="Title"/>
    <w:basedOn w:val="Normal"/>
    <w:next w:val="BodyText"/>
    <w:qFormat/>
    <w:pPr>
      <w:keepNext/>
      <w:keepLines/>
      <w:spacing w:after="240" w:before="480"/>
      <w:jc w:val="center"/>
    </w:pPr>
    <w:rPr>
      <w:rFonts w:ascii="Calibri" w:cs="Calibri" w:eastAsia="Calibri" w:hAnsi="Calibri"/>
      <w:b/>
      <w:bCs/>
      <w:i w:val="0"/>
      <w:color w:val="0F1B2D"/>
      <w:sz w:val="5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360" w:before="480"/>
      <w:outlineLvl w:val="0"/>
    </w:pPr>
    <w:rPr>
      <w:rFonts w:ascii="Calibri" w:cs="Calibri" w:eastAsia="Calibri" w:hAnsi="Calibri"/>
      <w:b/>
      <w:bCs/>
      <w:i w:val="0"/>
      <w:color w:val="0F1B2D"/>
      <w:sz w:val="44"/>
      <w:szCs w:val="32"/>
    </w:rPr>
  </w:style>
  <w:style w:styleId="Heading2" w:type="paragraph">
    <w:name w:val="Heading 2"/>
    <w:basedOn w:val="Normal"/>
    <w:next w:val="BodyText"/>
    <w:uiPriority w:val="9"/>
    <w:unhideWhenUsed/>
    <w:qFormat/>
    <w:pPr>
      <w:keepNext/>
      <w:keepLines/>
      <w:spacing w:after="0" w:before="360"/>
      <w:outlineLvl w:val="1"/>
    </w:pPr>
    <w:rPr>
      <w:rFonts w:ascii="Calibri" w:cs="Calibri" w:eastAsia="Calibri" w:hAnsi="Calibri"/>
      <w:b/>
      <w:bCs/>
      <w:i w:val="0"/>
      <w:color w:val="0B6E99"/>
      <w:sz w:val="30"/>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i w:val="0"/>
      <w:color w:val="0F1B2D"/>
      <w:sz w:val="25"/>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Calibri" w:cs="Calibri" w:eastAsia="Calibri" w:hAnsi="Calibri"/>
      <w:b w:val="0"/>
      <w:i w:val="0"/>
      <w:color w:val="5A6678"/>
      <w:sz w:val="18"/>
    </w:rPr>
  </w:style>
  <w:style w:customStyle="1" w:styleId="TableCaption" w:type="paragraph">
    <w:name w:val="Table Caption"/>
    <w:basedOn w:val="Caption"/>
    <w:pPr>
      <w:keepNext/>
    </w:pPr>
    <w:rPr>
      <w:rFonts w:ascii="Calibri" w:cs="Calibri" w:eastAsia="Calibri" w:hAnsi="Calibri"/>
      <w:b w:val="0"/>
      <w:i w:val="0"/>
      <w:color w:val="5A6678"/>
      <w:sz w:val="18"/>
    </w:rPr>
  </w:style>
  <w:style w:customStyle="1" w:styleId="ImageCaption" w:type="paragraph">
    <w:name w:val="Image Caption"/>
    <w:basedOn w:val="Caption"/>
    <w:rPr>
      <w:rFonts w:ascii="Calibri" w:cs="Calibri" w:eastAsia="Calibri" w:hAnsi="Calibri"/>
      <w:b w:val="0"/>
      <w:i w:val="0"/>
      <w:color w:val="5A6678"/>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0F1B2D"/>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B6E99"/>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bCs w:val="0"/>
      <w:i w:val="0"/>
      <w:color w:val="0F1B2D"/>
      <w:sz w:val="4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9" Type="http://schemas.openxmlformats.org/officeDocument/2006/relationships/image" Target="media/rId39.png"/><Relationship Id="rId50" Type="http://schemas.openxmlformats.org/officeDocument/2006/relationships/image" Target="media/rId50.png"/><Relationship Id="rId54" Type="http://schemas.openxmlformats.org/officeDocument/2006/relationships/image" Target="media/rId54.png"/><Relationship Id="rId58" Type="http://schemas.openxmlformats.org/officeDocument/2006/relationships/image" Target="media/rId58.png"/><Relationship Id="rId68" Type="http://schemas.openxmlformats.org/officeDocument/2006/relationships/image" Target="media/rId68.png"/><Relationship Id="rId65" Type="http://schemas.openxmlformats.org/officeDocument/2006/relationships/image" Target="media/rId65.png"/><Relationship Id="rId29" Type="http://schemas.openxmlformats.org/officeDocument/2006/relationships/image" Target="media/rId29.png"/><Relationship Id="rId45" Type="http://schemas.openxmlformats.org/officeDocument/2006/relationships/image" Target="media/rId45.png"/><Relationship Id="rId33" Type="http://schemas.openxmlformats.org/officeDocument/2006/relationships/image" Target="media/rId33.png"/><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dc:language>
  <cp:keywords/>
  <dcterms:created xsi:type="dcterms:W3CDTF">2026-10-23T10:19:52Z</dcterms:created>
  <dcterms:modified xsi:type="dcterms:W3CDTF">2026-10-23T10:19:52Z</dcterms:modified>
</cp:coreProperties>
</file>

<file path=docProps/custom.xml><?xml version="1.0" encoding="utf-8"?>
<Properties xmlns="http://schemas.openxmlformats.org/officeDocument/2006/custom-properties" xmlns:vt="http://schemas.openxmlformats.org/officeDocument/2006/docPropsVTypes"/>
</file>