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ésumé"/>
    <w:p>
      <w:pPr>
        <w:spacing w:after="120"/>
      </w:pPr>
      <w:r>
        <w:drawing>
          <wp:inline>
            <wp:extent cx="756000" cy="756000"/>
            <wp:docPr id="183" name="Picture 183"/>
            <wp:cNvGraphicFramePr>
              <a:graphicFrameLocks noChangeAspect="1"/>
            </wp:cNvGraphicFramePr>
            <a:graphic>
              <a:graphicData uri="http://schemas.openxmlformats.org/drawingml/2006/picture">
                <pic:pic>
                  <pic:nvPicPr>
                    <pic:cNvPr id="0" name="ucad_emblem.png"/>
                    <pic:cNvPicPr/>
                  </pic:nvPicPr>
                  <pic:blipFill>
                    <a:blip r:embed="rId9"/>
                    <a:stretch>
                      <a:fillRect/>
                    </a:stretch>
                  </pic:blipFill>
                  <pic:spPr>
                    <a:xfrm>
                      <a:off x="0" y="0"/>
                      <a:ext cx="756000" cy="756000"/>
                    </a:xfrm>
                    <a:prstGeom prst="rect"/>
                  </pic:spPr>
                </pic:pic>
              </a:graphicData>
            </a:graphic>
          </wp:inline>
        </w:drawing>
      </w:r>
    </w:p>
    <w:p>
      <w:pPr>
        <w:spacing w:after="0"/>
      </w:pPr>
      <w:r>
        <w:rPr>
          <w:rFonts w:ascii="Calibri" w:hAnsi="Calibri"/>
          <w:b/>
          <w:color w:val="0F1B2D"/>
          <w:sz w:val="26"/>
        </w:rPr>
        <w:t>Université Cheikh Anta Diop de Dakar</w:t>
      </w:r>
    </w:p>
    <w:p>
      <w:pPr>
        <w:spacing w:after="0"/>
      </w:pPr>
      <w:r>
        <w:rPr>
          <w:rFonts w:ascii="Calibri" w:hAnsi="Calibri"/>
          <w:b w:val="0"/>
          <w:color w:val="5A6678"/>
          <w:sz w:val="21"/>
        </w:rPr>
        <w:t>Faculté des Sciences et Techniques</w:t>
      </w:r>
    </w:p>
    <w:p>
      <w:pPr>
        <w:spacing w:after="80"/>
      </w:pPr>
      <w:r>
        <w:rPr>
          <w:rFonts w:ascii="Calibri" w:hAnsi="Calibri"/>
          <w:b w:val="0"/>
          <w:color w:val="5A6678"/>
          <w:sz w:val="21"/>
        </w:rPr>
        <w:t>Département de Mathématiques et Informatique, section Informatique</w:t>
      </w:r>
    </w:p>
    <w:p>
      <w:pPr>
        <w:spacing w:after="0"/>
      </w:pPr>
    </w:p>
    <w:p>
      <w:pPr>
        <w:spacing w:after="0"/>
      </w:pPr>
    </w:p>
    <w:p>
      <w:pPr>
        <w:spacing w:after="0"/>
      </w:pPr>
    </w:p>
    <w:p>
      <w:pPr>
        <w:spacing w:after="0"/>
      </w:pPr>
    </w:p>
    <w:p>
      <w:pPr>
        <w:spacing w:after="0"/>
      </w:pPr>
    </w:p>
    <w:p>
      <w:pPr>
        <w:spacing w:after="0"/>
      </w:pPr>
    </w:p>
    <w:p>
      <w:pPr>
        <w:spacing w:after="0"/>
      </w:pPr>
    </w:p>
    <w:p>
      <w:pPr>
        <w:spacing w:after="200"/>
      </w:pPr>
      <w:r>
        <w:rPr>
          <w:rFonts w:ascii="Calibri" w:hAnsi="Calibri"/>
          <w:b/>
          <w:color w:val="0B6E99"/>
          <w:sz w:val="19"/>
        </w:rPr>
        <w:t>RAPPORT DE PROJET · MASTER 2 BUSINESS INTELLIGENCE</w:t>
      </w:r>
    </w:p>
    <w:p>
      <w:pPr>
        <w:spacing w:after="240"/>
      </w:pPr>
      <w:r>
        <w:rPr>
          <w:rFonts w:ascii="Calibri" w:hAnsi="Calibri"/>
          <w:b/>
          <w:color w:val="0F1B2D"/>
          <w:sz w:val="48"/>
        </w:rPr>
        <w:t>Conception d’une Modern Data Platform avec architecture Médaillon et application Text-to-SQL basée sur l’IA</w:t>
      </w:r>
    </w:p>
    <w:p>
      <w:pPr>
        <w:spacing w:after="80"/>
      </w:pPr>
      <w:r>
        <w:rPr>
          <w:rFonts w:ascii="Calibri" w:hAnsi="Calibri"/>
          <w:b w:val="0"/>
          <w:color w:val="5A6678"/>
          <w:sz w:val="26"/>
        </w:rPr>
        <w:t>Wide World Importers · SQL Server, DLT, dbt, Dagster, Snowflake, Streamlit</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r>
        <w:rPr>
          <w:rFonts w:ascii="Calibri" w:hAnsi="Calibri"/>
          <w:b w:val="0"/>
          <w:color w:val="5A6678"/>
          <w:sz w:val="18"/>
        </w:rPr>
        <w:t>Réalisé par</w:t>
      </w:r>
    </w:p>
    <w:p>
      <w:pPr>
        <w:spacing w:after="160"/>
      </w:pPr>
      <w:r>
        <w:rPr>
          <w:rFonts w:ascii="Calibri" w:hAnsi="Calibri"/>
          <w:b/>
          <w:color w:val="0F1B2D"/>
          <w:sz w:val="23"/>
        </w:rPr>
        <w:t>Ibrahima Lang Diop</w:t>
      </w:r>
    </w:p>
    <w:p>
      <w:pPr>
        <w:spacing w:after="0"/>
      </w:pPr>
      <w:r>
        <w:rPr>
          <w:rFonts w:ascii="Calibri" w:hAnsi="Calibri"/>
          <w:b w:val="0"/>
          <w:color w:val="5A6678"/>
          <w:sz w:val="18"/>
        </w:rPr>
        <w:t>Encadrant</w:t>
      </w:r>
    </w:p>
    <w:p>
      <w:pPr>
        <w:spacing w:after="160"/>
      </w:pPr>
      <w:r>
        <w:rPr>
          <w:rFonts w:ascii="Calibri" w:hAnsi="Calibri"/>
          <w:b/>
          <w:color w:val="0F1B2D"/>
          <w:sz w:val="23"/>
        </w:rPr>
        <w:t>Dr. Jean Gane Sarr</w:t>
      </w:r>
    </w:p>
    <w:p>
      <w:pPr>
        <w:spacing w:after="0"/>
      </w:pPr>
      <w:r>
        <w:rPr>
          <w:rFonts w:ascii="Calibri" w:hAnsi="Calibri"/>
          <w:b w:val="0"/>
          <w:color w:val="5A6678"/>
          <w:sz w:val="18"/>
        </w:rPr>
        <w:t>Année universitaire</w:t>
      </w:r>
    </w:p>
    <w:p>
      <w:pPr>
        <w:spacing w:after="160"/>
      </w:pPr>
      <w:r>
        <w:rPr>
          <w:rFonts w:ascii="Calibri" w:hAnsi="Calibri"/>
          <w:b/>
          <w:color w:val="0F1B2D"/>
          <w:sz w:val="23"/>
        </w:rPr>
        <w:t>2025–2026</w:t>
      </w:r>
    </w:p>
    <w:p>
      <w:pPr>
        <w:spacing w:after="80"/>
      </w:pPr>
      <w:r>
        <w:br w:type="page"/>
      </w:r>
    </w:p>
    <w:p>
      <w:pPr>
        <w:pStyle w:val="Heading1"/>
      </w:pPr>
      <w:r>
        <w:t xml:space="preserve">Résumé</w:t>
      </w:r>
    </w:p>
    <w:p>
      <w:pPr>
        <w:pStyle w:val="FirstParagraph"/>
      </w:pPr>
      <w:r>
        <w:t xml:space="preserve">Ce projet met en place une plateforme de données moderne à partir de la base transactionnelle</w:t>
      </w:r>
      <w:r>
        <w:t xml:space="preserve"> </w:t>
      </w:r>
      <w:r>
        <w:rPr>
          <w:iCs/>
          <w:i/>
        </w:rPr>
        <w:t xml:space="preserve">Wide World Importers</w:t>
      </w:r>
      <w:r>
        <w:t xml:space="preserve"> </w:t>
      </w:r>
      <w:r>
        <w:t xml:space="preserve">de Microsoft. Les données de SQL Server sont extraites avec DLT et chargées dans Snowflake, où elles sont organisées en trois couches : Bronze pour les données brutes, Silver pour les données nettoyées et Gold pour un modèle en étoile destiné à l’analyse. Les transformations sont écrites avec dbt et vérifiées par dix-huit tests de qualité ; l’ensemble est orchestré par Dagster, qui exécute la chaîne complète en sept minutes et demie et la planifie chaque nuit.</w:t>
      </w:r>
    </w:p>
    <w:p>
      <w:pPr>
        <w:pStyle w:val="BodyText"/>
      </w:pPr>
      <w:r>
        <w:t xml:space="preserve">Une application Streamlit permet ensuite d’interroger la couche Gold en français. La question est traduite en SQL par un modèle de langage, la requête est contrôlée puis exécutée, et le résultat est présenté sous forme de graphique et de tableau. Le compte d’essai Snowflake ne donnant pas accès à la fonction Cortex</w:t>
      </w:r>
      <w:r>
        <w:t xml:space="preserve"> </w:t>
      </w:r>
      <w:r>
        <w:rPr>
          <w:rStyle w:val="VerbatimChar"/>
        </w:rPr>
        <w:t xml:space="preserve">COMPLETE</w:t>
      </w:r>
      <w:r>
        <w:t xml:space="preserve">, un modèle local servi par Ollama prend le relais, sans modification du reste de l’architecture.</w:t>
      </w:r>
    </w:p>
    <w:p>
      <w:pPr>
        <w:pStyle w:val="BodyText"/>
      </w:pPr>
      <w:r>
        <w:rPr>
          <w:bCs/>
          <w:b/>
        </w:rPr>
        <w:t xml:space="preserve">Mots-clés :</w:t>
      </w:r>
      <w:r>
        <w:t xml:space="preserve"> </w:t>
      </w:r>
      <w:r>
        <w:t xml:space="preserve">Modern Data Platform, architecture Médaillon, ELT, Snowflake, dbt, Dagster, Text-to-SQL.</w:t>
      </w:r>
    </w:p>
    <w:bookmarkEnd w:id="20"/>
    <w:bookmarkStart w:id="21" w:name="abstract"/>
    <w:p>
      <w:pPr>
        <w:pStyle w:val="Heading1"/>
      </w:pPr>
      <w:r>
        <w:t xml:space="preserve">Abstract</w:t>
      </w:r>
    </w:p>
    <w:p>
      <w:pPr>
        <w:pStyle w:val="FirstParagraph"/>
      </w:pPr>
      <w:r>
        <w:t xml:space="preserve">This project builds a modern data platform on top of Microsoft’s</w:t>
      </w:r>
      <w:r>
        <w:t xml:space="preserve"> </w:t>
      </w:r>
      <w:r>
        <w:rPr>
          <w:iCs/>
          <w:i/>
        </w:rPr>
        <w:t xml:space="preserve">Wide World Importers</w:t>
      </w:r>
      <w:r>
        <w:t xml:space="preserve"> </w:t>
      </w:r>
      <w:r>
        <w:t xml:space="preserve">transactional database. Data is extracted from SQL Server with DLT and loaded into Snowflake, where it is organised into three layers: Bronze for raw data, Silver for cleaned data and Gold for a star schema designed for analysis. Transformations are written with dbt and checked by eighteen data quality tests; Dagster orchestrates the whole chain, which runs in about seven and a half minutes and is scheduled every night.</w:t>
      </w:r>
    </w:p>
    <w:p>
      <w:pPr>
        <w:pStyle w:val="BodyText"/>
      </w:pPr>
      <w:r>
        <w:t xml:space="preserve">A Streamlit application lets users query the Gold layer in French. Each question is translated into SQL by a language model, the query is checked and executed, and the result is shown as a chart and a table. Since the Snowflake trial account does not allow the Cortex</w:t>
      </w:r>
      <w:r>
        <w:t xml:space="preserve"> </w:t>
      </w:r>
      <w:r>
        <w:rPr>
          <w:rStyle w:val="VerbatimChar"/>
        </w:rPr>
        <w:t xml:space="preserve">COMPLETE</w:t>
      </w:r>
      <w:r>
        <w:t xml:space="preserve"> </w:t>
      </w:r>
      <w:r>
        <w:t xml:space="preserve">function, a local model served by Ollama generates the SQL instead, with no change to the rest of the architecture.</w:t>
      </w:r>
    </w:p>
    <w:p>
      <w:pPr>
        <w:pStyle w:val="BodyText"/>
      </w:pPr>
      <w:r>
        <w:rPr>
          <w:bCs/>
          <w:b/>
        </w:rPr>
        <w:t xml:space="preserve">Keywords:</w:t>
      </w:r>
      <w:r>
        <w:t xml:space="preserve"> </w:t>
      </w:r>
      <w:r>
        <w:t xml:space="preserve">Modern Data Platform, Medallion architecture, ELT, Snowflake, dbt, Dagster, Text-to-SQL.</w:t>
      </w:r>
    </w:p>
    <w:p>
      <w:pPr>
        <w:pStyle w:val="TOCHeading"/>
      </w:pPr>
      <w:r>
        <w:t>Table des matières</w:t>
      </w:r>
    </w:p>
    <w:p>
      <w:r>
        <w:fldChar w:fldCharType="begin" w:dirty="true"/>
      </w:r>
      <w:r>
        <w:instrText xml:space="preserve"> TOC \o "1-2" \h \z \u </w:instrText>
      </w:r>
      <w:r>
        <w:fldChar w:fldCharType="separate"/>
      </w:r>
      <w:r>
        <w:t>Ouvrez le document dans Word et acceptez la mise à jour des champs pour afficher la table des matières.</w:t>
      </w:r>
      <w:r>
        <w:fldChar w:fldCharType="end"/>
      </w:r>
    </w:p>
    <w:p>
      <w:r>
        <w:br w:type="page"/>
      </w:r>
    </w:p>
    <w:bookmarkEnd w:id="21"/>
    <w:bookmarkStart w:id="25" w:name="introduction-générale"/>
    <w:p>
      <w:pPr>
        <w:pStyle w:val="Heading1"/>
      </w:pPr>
      <w:r>
        <w:t xml:space="preserve">Introduction générale</w:t>
      </w:r>
    </w:p>
    <w:p>
      <w:pPr>
        <w:pStyle w:val="FirstParagraph"/>
      </w:pPr>
      <w:r>
        <w:t xml:space="preserve">Une entreprise de distribution enregistre chaque jour des commandes, des factures, des mouvements de stock et des paiements. Ces données sont stockées dans des bases transactionnelles conçues pour enregistrer rapidement des opérations, et non pour répondre à des questions d’analyse. Savoir quels clients rapportent le plus, comment évoluent les ventes d’un mois à l’autre ou quels produits dégagent la meilleure marge suppose de rassembler les données, de les nettoyer et de les réorganiser. En pratique, ce travail repose souvent sur une équipe technique, et un responsable commercial doit attendre qu’un analyste écrive la requête SQL dont il a besoin.</w:t>
      </w:r>
    </w:p>
    <w:p>
      <w:pPr>
        <w:pStyle w:val="BodyText"/>
      </w:pPr>
      <w:r>
        <w:t xml:space="preserve">Deux évolutions récentes changent cette situation. D’une part, les plateformes de données en nuage comme Snowflake séparent le stockage du calcul et permettent de charger les données brutes avant de les transformer sur place ; c’est l’approche ELT (</w:t>
      </w:r>
      <w:r>
        <w:rPr>
          <w:iCs/>
          <w:i/>
        </w:rPr>
        <w:t xml:space="preserve">Extract, Load, Transform</w:t>
      </w:r>
      <w:r>
        <w:t xml:space="preserve">). Des outils spécialisés couvrent chaque étape : DLT pour l’ingestion, dbt pour les transformations, Dagster pour l’orchestration. D’autre part, les grands modèles de langage savent désormais produire une requête SQL à partir d’une question formulée en langage naturel, ce qui ouvre l’accès aux données à des utilisateurs qui ne connaissent pas SQL.</w:t>
      </w:r>
    </w:p>
    <w:bookmarkStart w:id="22" w:name="problématique"/>
    <w:p>
      <w:pPr>
        <w:pStyle w:val="Heading2"/>
      </w:pPr>
      <w:r>
        <w:t xml:space="preserve">Problématique</w:t>
      </w:r>
    </w:p>
    <w:p>
      <w:pPr>
        <w:pStyle w:val="FirstParagraph"/>
      </w:pPr>
      <w:r>
        <w:t xml:space="preserve">Le projet répond à la question suivante : comment concevoir une plateforme qui automatise l’ingestion, la transformation et la modélisation des données d’une base transactionnelle, puis qui permet de les interroger en français, de façon fiable et sans connaissance de SQL ?</w:t>
      </w:r>
    </w:p>
    <w:bookmarkEnd w:id="22"/>
    <w:bookmarkStart w:id="23" w:name="objectifs"/>
    <w:p>
      <w:pPr>
        <w:pStyle w:val="Heading2"/>
      </w:pPr>
      <w:r>
        <w:t xml:space="preserve">Objectifs</w:t>
      </w:r>
    </w:p>
    <w:p>
      <w:pPr>
        <w:pStyle w:val="FirstParagraph"/>
      </w:pPr>
      <w:r>
        <w:t xml:space="preserve">L’objectif est de construire une chaîne complète sur la base</w:t>
      </w:r>
      <w:r>
        <w:t xml:space="preserve"> </w:t>
      </w:r>
      <w:r>
        <w:rPr>
          <w:iCs/>
          <w:i/>
        </w:rPr>
        <w:t xml:space="preserve">Wide World Importers</w:t>
      </w:r>
      <w:r>
        <w:t xml:space="preserve"> </w:t>
      </w:r>
      <w:r>
        <w:t xml:space="preserve">de Microsoft. Concrètement, il s’agit :</w:t>
      </w:r>
    </w:p>
    <w:p>
      <w:pPr>
        <w:numPr>
          <w:ilvl w:val="0"/>
          <w:numId w:val="1001"/>
        </w:numPr>
        <w:pStyle w:val="Compact"/>
      </w:pPr>
      <w:r>
        <w:t xml:space="preserve">d’extraire automatiquement les données de SQL Server et de les charger dans Snowflake avec DLT ;</w:t>
      </w:r>
    </w:p>
    <w:p>
      <w:pPr>
        <w:numPr>
          <w:ilvl w:val="0"/>
          <w:numId w:val="1001"/>
        </w:numPr>
        <w:pStyle w:val="Compact"/>
      </w:pPr>
      <w:r>
        <w:t xml:space="preserve">d’organiser l’entrepôt selon une architecture Médaillon, en trois couches Bronze, Silver et Gold ;</w:t>
      </w:r>
    </w:p>
    <w:p>
      <w:pPr>
        <w:numPr>
          <w:ilvl w:val="0"/>
          <w:numId w:val="1001"/>
        </w:numPr>
        <w:pStyle w:val="Compact"/>
      </w:pPr>
      <w:r>
        <w:t xml:space="preserve">d’écrire les transformations avec dbt, en les documentant et en les testant ;</w:t>
      </w:r>
    </w:p>
    <w:p>
      <w:pPr>
        <w:numPr>
          <w:ilvl w:val="0"/>
          <w:numId w:val="1001"/>
        </w:numPr>
        <w:pStyle w:val="Compact"/>
      </w:pPr>
      <w:r>
        <w:t xml:space="preserve">d’orchestrer et de planifier l’ensemble avec Dagster ;</w:t>
      </w:r>
    </w:p>
    <w:p>
      <w:pPr>
        <w:numPr>
          <w:ilvl w:val="0"/>
          <w:numId w:val="1001"/>
        </w:numPr>
        <w:pStyle w:val="Compact"/>
      </w:pPr>
      <w:r>
        <w:t xml:space="preserve">de développer une application Streamlit qui traduit une question en SQL avec un modèle de langage et affiche le résultat.</w:t>
      </w:r>
    </w:p>
    <w:bookmarkEnd w:id="23"/>
    <w:bookmarkStart w:id="24" w:name="démarche-et-organisation-du-rapport"/>
    <w:p>
      <w:pPr>
        <w:pStyle w:val="Heading2"/>
      </w:pPr>
      <w:r>
        <w:t xml:space="preserve">Démarche et organisation du rapport</w:t>
      </w:r>
    </w:p>
    <w:p>
      <w:pPr>
        <w:pStyle w:val="FirstParagraph"/>
      </w:pPr>
      <w:r>
        <w:t xml:space="preserve">Nous avons d’abord développé toute la chaîne sur une base DuckDB locale, gratuite et sans configuration, avant de basculer vers Snowflake en changeant uniquement des variables d’environnement. Ce choix a permis de corriger rapidement les modèles dbt et l’application sans consommer de crédits.</w:t>
      </w:r>
    </w:p>
    <w:p>
      <w:pPr>
        <w:pStyle w:val="BodyText"/>
      </w:pPr>
      <w:r>
        <w:t xml:space="preserve">Le chapitre 1 présente les notions et les outils sur lesquels repose le projet. Le chapitre 2 décrit le jeu de données, les besoins d’analyse et l’architecture retenue. Le chapitre 3 détaille la mise en œuvre de chaque brique, en s’appuyant sur des extraits du code du projet. Le chapitre 4 présente les résultats obtenus, les difficultés rencontrées et les limites de la solution. La conclusion dresse le bilan du projet et propose des suites possibles.</w:t>
      </w:r>
    </w:p>
    <w:bookmarkEnd w:id="24"/>
    <w:bookmarkEnd w:id="25"/>
    <w:bookmarkStart w:id="32" w:name="cadre-et-choix-techniques"/>
    <w:p>
      <w:pPr>
        <w:pStyle w:val="Heading1"/>
      </w:pPr>
      <w:r>
        <w:rPr>
          <w:rStyle w:val="SectionNumber"/>
        </w:rPr>
        <w:t xml:space="preserve">1</w:t>
      </w:r>
      <w:r>
        <w:tab/>
      </w:r>
      <w:r>
        <w:t xml:space="preserve">Cadre et choix techniques</w:t>
      </w:r>
    </w:p>
    <w:p>
      <w:pPr>
        <w:pStyle w:val="FirstParagraph"/>
      </w:pPr>
      <w:r>
        <w:t xml:space="preserve">Ce chapitre présente les notions sur lesquelles repose le projet, puis les outils retenus pour chaque étape de la chaîne.</w:t>
      </w:r>
    </w:p>
    <w:bookmarkStart w:id="26" w:name="X84de94153e1b7aa69d06a37a0a53fc64b621881"/>
    <w:p>
      <w:pPr>
        <w:pStyle w:val="Heading2"/>
      </w:pPr>
      <w:r>
        <w:rPr>
          <w:rStyle w:val="SectionNumber"/>
        </w:rPr>
        <w:t xml:space="preserve">1.1</w:t>
      </w:r>
      <w:r>
        <w:tab/>
      </w:r>
      <w:r>
        <w:t xml:space="preserve">De l’entrepôt de données à la Modern Data Platform</w:t>
      </w:r>
    </w:p>
    <w:p>
      <w:pPr>
        <w:pStyle w:val="FirstParagraph"/>
      </w:pPr>
      <w:r>
        <w:t xml:space="preserve">L’entrepôt de données classique repose sur une chaîne ETL : les données sont extraites des systèmes sources, transformées sur un serveur intermédiaire, puis chargées dans l’entrepôt sous leur forme finale. Les transformations sont écrites dans un outil dédié et s’exécutent avant le chargement, ce qui rend toute correction coûteuse : il faut relancer l’extraction pour reconstruire une table.</w:t>
      </w:r>
    </w:p>
    <w:p>
      <w:pPr>
        <w:pStyle w:val="BodyText"/>
      </w:pPr>
      <w:r>
        <w:t xml:space="preserve">Les entrepôts en nuage ont inversé cet ordre. Le stockage y est bon marché et la puissance de calcul se loue à la demande ; il devient donc raisonnable de charger d’abord les données brutes, puis de les transformer dans l’entrepôt lui-même, en SQL. On parle alors d’ELT. Une</w:t>
      </w:r>
      <w:r>
        <w:t xml:space="preserve"> </w:t>
      </w:r>
      <w:r>
        <w:rPr>
          <w:iCs/>
          <w:i/>
        </w:rPr>
        <w:t xml:space="preserve">Modern Data Platform</w:t>
      </w:r>
      <w:r>
        <w:t xml:space="preserve"> </w:t>
      </w:r>
      <w:r>
        <w:t xml:space="preserve">assemble autour de cet entrepôt des outils spécialisés, chacun responsable d’une étape : un outil d’ingestion, un outil de transformation, un orchestrateur et des applications de restitution. Chaque brique peut être remplacée sans reconstruire les autres, ce que nous avons d’ailleurs exploité en passant de DuckDB à Snowflake.</w:t>
      </w:r>
    </w:p>
    <w:bookmarkEnd w:id="26"/>
    <w:bookmarkStart w:id="27" w:name="larchitecture-médaillon"/>
    <w:p>
      <w:pPr>
        <w:pStyle w:val="Heading2"/>
      </w:pPr>
      <w:r>
        <w:rPr>
          <w:rStyle w:val="SectionNumber"/>
        </w:rPr>
        <w:t xml:space="preserve">1.2</w:t>
      </w:r>
      <w:r>
        <w:tab/>
      </w:r>
      <w:r>
        <w:t xml:space="preserve">L’architecture Médaillon</w:t>
      </w:r>
    </w:p>
    <w:p>
      <w:pPr>
        <w:pStyle w:val="FirstParagraph"/>
      </w:pPr>
      <w:r>
        <w:t xml:space="preserve">L’architecture Médaillon organise l’entrepôt en trois couches successives, chacune lisant la précédente.</w:t>
      </w:r>
    </w:p>
    <w:p>
      <w:pPr>
        <w:numPr>
          <w:ilvl w:val="0"/>
          <w:numId w:val="1002"/>
        </w:numPr>
        <w:pStyle w:val="Compact"/>
      </w:pPr>
      <w:r>
        <w:rPr>
          <w:bCs/>
          <w:b/>
        </w:rPr>
        <w:t xml:space="preserve">Bronze</w:t>
      </w:r>
      <w:r>
        <w:t xml:space="preserve"> </w:t>
      </w:r>
      <w:r>
        <w:t xml:space="preserve">contient les données telles qu’elles arrivent de la source, sans règle métier. Elle sert de point de reprise : si une transformation est erronée, on la corrige et on la rejoue sans solliciter à nouveau SQL Server.</w:t>
      </w:r>
    </w:p>
    <w:p>
      <w:pPr>
        <w:numPr>
          <w:ilvl w:val="0"/>
          <w:numId w:val="1002"/>
        </w:numPr>
        <w:pStyle w:val="Compact"/>
      </w:pPr>
      <w:r>
        <w:rPr>
          <w:bCs/>
          <w:b/>
        </w:rPr>
        <w:t xml:space="preserve">Silver</w:t>
      </w:r>
      <w:r>
        <w:t xml:space="preserve"> </w:t>
      </w:r>
      <w:r>
        <w:t xml:space="preserve">contient des données nettoyées et typées : colonnes renommées, dates converties, lignes invalides écartées, jointures techniques effectuées.</w:t>
      </w:r>
    </w:p>
    <w:p>
      <w:pPr>
        <w:numPr>
          <w:ilvl w:val="0"/>
          <w:numId w:val="1002"/>
        </w:numPr>
        <w:pStyle w:val="Compact"/>
      </w:pPr>
      <w:r>
        <w:rPr>
          <w:bCs/>
          <w:b/>
        </w:rPr>
        <w:t xml:space="preserve">Gold</w:t>
      </w:r>
      <w:r>
        <w:t xml:space="preserve"> </w:t>
      </w:r>
      <w:r>
        <w:t xml:space="preserve">contient des tables conçues pour l’analyse, ici un schéma en étoile. C’est la seule couche exposée aux utilisateurs et à l’application.</w:t>
      </w:r>
    </w:p>
    <w:p>
      <w:pPr>
        <w:pStyle w:val="FirstParagraph"/>
      </w:pPr>
      <w:r>
        <w:t xml:space="preserve">Cette séparation rend chaque étape lisible et testable isolément. Elle permet aussi de limiter les droits : l’application n’a besoin que de lire la couche Gold.</w:t>
      </w:r>
    </w:p>
    <w:bookmarkEnd w:id="27"/>
    <w:bookmarkStart w:id="28" w:name="la-modélisation-dimensionnelle"/>
    <w:p>
      <w:pPr>
        <w:pStyle w:val="Heading2"/>
      </w:pPr>
      <w:r>
        <w:rPr>
          <w:rStyle w:val="SectionNumber"/>
        </w:rPr>
        <w:t xml:space="preserve">1.3</w:t>
      </w:r>
      <w:r>
        <w:tab/>
      </w:r>
      <w:r>
        <w:t xml:space="preserve">La modélisation dimensionnelle</w:t>
      </w:r>
    </w:p>
    <w:p>
      <w:pPr>
        <w:pStyle w:val="FirstParagraph"/>
      </w:pPr>
      <w:r>
        <w:t xml:space="preserve">La couche Gold suit la modélisation dimensionnelle de Ralph Kimball. Une</w:t>
      </w:r>
      <w:r>
        <w:t xml:space="preserve"> </w:t>
      </w:r>
      <w:r>
        <w:rPr>
          <w:bCs/>
          <w:b/>
        </w:rPr>
        <w:t xml:space="preserve">table de faits</w:t>
      </w:r>
      <w:r>
        <w:t xml:space="preserve"> </w:t>
      </w:r>
      <w:r>
        <w:t xml:space="preserve">enregistre des événements mesurables, par exemple une ligne de commande avec sa quantité et son montant. Les</w:t>
      </w:r>
      <w:r>
        <w:t xml:space="preserve"> </w:t>
      </w:r>
      <w:r>
        <w:rPr>
          <w:bCs/>
          <w:b/>
        </w:rPr>
        <w:t xml:space="preserve">tables de dimensions</w:t>
      </w:r>
      <w:r>
        <w:t xml:space="preserve"> </w:t>
      </w:r>
      <w:r>
        <w:t xml:space="preserve">décrivent le contexte de ces événements : le client, le produit, le vendeur, la date. Chaque table de faits a un</w:t>
      </w:r>
      <w:r>
        <w:t xml:space="preserve"> </w:t>
      </w:r>
      <w:r>
        <w:rPr>
          <w:bCs/>
          <w:b/>
        </w:rPr>
        <w:t xml:space="preserve">grain</w:t>
      </w:r>
      <w:r>
        <w:t xml:space="preserve">, c’est-à-dire ce que représente exactement une ligne ; le fixer dès la conception évite les doubles comptes lors des agrégations.</w:t>
      </w:r>
    </w:p>
    <w:p>
      <w:pPr>
        <w:pStyle w:val="BodyText"/>
      </w:pPr>
      <w:r>
        <w:t xml:space="preserve">Ce modèle convient particulièrement au Text-to-SQL : un schéma en étoile comporte peu de tables, des noms de colonnes explicites et des jointures simples, ce qui réduit les erreurs du modèle de langage.</w:t>
      </w:r>
    </w:p>
    <w:bookmarkEnd w:id="28"/>
    <w:bookmarkStart w:id="29" w:name="le-text-to-sql-avec-un-modèle-de-langage"/>
    <w:p>
      <w:pPr>
        <w:pStyle w:val="Heading2"/>
      </w:pPr>
      <w:r>
        <w:rPr>
          <w:rStyle w:val="SectionNumber"/>
        </w:rPr>
        <w:t xml:space="preserve">1.4</w:t>
      </w:r>
      <w:r>
        <w:tab/>
      </w:r>
      <w:r>
        <w:t xml:space="preserve">Le Text-to-SQL avec un modèle de langage</w:t>
      </w:r>
    </w:p>
    <w:p>
      <w:pPr>
        <w:pStyle w:val="FirstParagraph"/>
      </w:pPr>
      <w:r>
        <w:t xml:space="preserve">Un système Text-to-SQL traduit une question en langage naturel en requête SQL. Avec un grand modèle de langage, la traduction repose sur une consigne (</w:t>
      </w:r>
      <w:r>
        <w:rPr>
          <w:iCs/>
          <w:i/>
        </w:rPr>
        <w:t xml:space="preserve">prompt</w:t>
      </w:r>
      <w:r>
        <w:t xml:space="preserve">) qui contient la description du schéma, quelques règles métier et la question de l’utilisateur. Le modèle n’a pas accès aux données : il ne voit que les noms des tables et des colonnes.</w:t>
      </w:r>
    </w:p>
    <w:p>
      <w:pPr>
        <w:pStyle w:val="BodyText"/>
      </w:pPr>
      <w:r>
        <w:t xml:space="preserve">Cette approche comporte trois limites, que l’application doit prendre en compte :</w:t>
      </w:r>
    </w:p>
    <w:p>
      <w:pPr>
        <w:numPr>
          <w:ilvl w:val="0"/>
          <w:numId w:val="1003"/>
        </w:numPr>
        <w:pStyle w:val="Compact"/>
      </w:pPr>
      <w:r>
        <w:t xml:space="preserve">le modèle peut produire une requête syntaxiquement correcte mais fausse sur le plan métier, par exemple en sommant un montant TTC au lieu du montant hors taxes ;</w:t>
      </w:r>
    </w:p>
    <w:p>
      <w:pPr>
        <w:numPr>
          <w:ilvl w:val="0"/>
          <w:numId w:val="1003"/>
        </w:numPr>
        <w:pStyle w:val="Compact"/>
      </w:pPr>
      <w:r>
        <w:t xml:space="preserve">il peut produire une requête qui modifie les données si la question s’y prête ;</w:t>
      </w:r>
    </w:p>
    <w:p>
      <w:pPr>
        <w:numPr>
          <w:ilvl w:val="0"/>
          <w:numId w:val="1003"/>
        </w:numPr>
        <w:pStyle w:val="Compact"/>
      </w:pPr>
      <w:r>
        <w:t xml:space="preserve">sa réponse n’est pas toujours limitée au SQL : il ajoute parfois une explication ou un bloc de code Markdown.</w:t>
      </w:r>
    </w:p>
    <w:p>
      <w:pPr>
        <w:pStyle w:val="FirstParagraph"/>
      </w:pPr>
      <w:r>
        <w:t xml:space="preserve">La première limite se réduit en donnant au modèle les définitions métier attendues ; les deux autres imposent de contrôler chaque requête avant de l’exécuter.</w:t>
      </w:r>
    </w:p>
    <w:bookmarkEnd w:id="29"/>
    <w:bookmarkStart w:id="31" w:name="outils-retenus"/>
    <w:p>
      <w:pPr>
        <w:pStyle w:val="Heading2"/>
      </w:pPr>
      <w:r>
        <w:rPr>
          <w:rStyle w:val="SectionNumber"/>
        </w:rPr>
        <w:t xml:space="preserve">1.5</w:t>
      </w:r>
      <w:r>
        <w:tab/>
      </w:r>
      <w:r>
        <w:t xml:space="preserve">Outils retenus</w:t>
      </w:r>
    </w:p>
    <w:p>
      <w:pPr>
        <w:pStyle w:val="FirstParagraph"/>
      </w:pPr>
      <w:r>
        <w:t xml:space="preserve">Le tableau 1.1 résume le rôle de chaque outil dans le projet.</w:t>
      </w:r>
    </w:p>
    <w:bookmarkStart w:id="30" w:name="tab:outils"/>
    <w:p>
      <w:pPr>
        <w:pStyle w:val="TableCaption"/>
      </w:pPr>
      <w:r>
        <w:rPr>
          <w:bCs/>
          <w:b/>
        </w:rPr>
        <w:t xml:space="preserve">Tableau 1.1</w:t>
      </w:r>
      <w:r>
        <w:t xml:space="preserve"> – Outils de la plateforme et rôle de chacun</w:t>
      </w:r>
    </w:p>
    <w:tbl>
      <w:tblPr>
        <w:tblStyle w:val="Table"/>
        <w:tblW w:type="auto" w:w="0"/>
        <w:tblLook w:firstRow="1" w:lastRow="0" w:firstColumn="0" w:lastColumn="0" w:noHBand="0" w:noVBand="0" w:val="0020"/>
        <w:jc w:val="start"/>
        <w:tblCaption w:val="Tableau 1.1 – Outils de la plateforme et rôle de chacun"/>
      </w:tblPr>
      <w:tblGrid>
        <w:gridCol w:w="2640"/>
        <w:gridCol w:w="2640"/>
        <w:gridCol w:w="2640"/>
      </w:tblGrid>
      <w:tr>
        <w:trPr>
          <w:tblHeader w:val="true"/>
        </w:trPr>
        <w:tc>
          <w:tcPr/>
          <w:p>
            <w:pPr>
              <w:pStyle w:val="Compact"/>
              <w:jc w:val="left"/>
            </w:pPr>
            <w:r>
              <w:t xml:space="preserve">Brique</w:t>
            </w:r>
          </w:p>
        </w:tc>
        <w:tc>
          <w:tcPr/>
          <w:p>
            <w:pPr>
              <w:pStyle w:val="Compact"/>
              <w:jc w:val="left"/>
            </w:pPr>
            <w:r>
              <w:t xml:space="preserve">Outil</w:t>
            </w:r>
          </w:p>
        </w:tc>
        <w:tc>
          <w:tcPr/>
          <w:p>
            <w:pPr>
              <w:pStyle w:val="Compact"/>
              <w:jc w:val="left"/>
            </w:pPr>
            <w:r>
              <w:t xml:space="preserve">Rôle dans le projet</w:t>
            </w:r>
          </w:p>
        </w:tc>
      </w:tr>
      <w:tr>
        <w:tc>
          <w:tcPr/>
          <w:p>
            <w:pPr>
              <w:pStyle w:val="Compact"/>
              <w:jc w:val="left"/>
            </w:pPr>
            <w:r>
              <w:t xml:space="preserve">Source</w:t>
            </w:r>
          </w:p>
        </w:tc>
        <w:tc>
          <w:tcPr/>
          <w:p>
            <w:pPr>
              <w:pStyle w:val="Compact"/>
              <w:jc w:val="left"/>
            </w:pPr>
            <w:r>
              <w:t xml:space="preserve">SQL Server</w:t>
            </w:r>
          </w:p>
        </w:tc>
        <w:tc>
          <w:tcPr/>
          <w:p>
            <w:pPr>
              <w:pStyle w:val="Compact"/>
              <w:jc w:val="left"/>
            </w:pPr>
            <w:r>
              <w:t xml:space="preserve">Héberge la base transactionnelle</w:t>
            </w:r>
            <w:r>
              <w:t xml:space="preserve"> </w:t>
            </w:r>
            <w:r>
              <w:rPr>
                <w:iCs/>
                <w:i/>
              </w:rPr>
              <w:t xml:space="preserve">WideWorldImporters</w:t>
            </w:r>
          </w:p>
        </w:tc>
      </w:tr>
      <w:tr>
        <w:tc>
          <w:tcPr/>
          <w:p>
            <w:pPr>
              <w:pStyle w:val="Compact"/>
              <w:jc w:val="left"/>
            </w:pPr>
            <w:r>
              <w:t xml:space="preserve">Ingestion</w:t>
            </w:r>
          </w:p>
        </w:tc>
        <w:tc>
          <w:tcPr/>
          <w:p>
            <w:pPr>
              <w:pStyle w:val="Compact"/>
              <w:jc w:val="left"/>
            </w:pPr>
            <w:r>
              <w:t xml:space="preserve">DLT</w:t>
            </w:r>
          </w:p>
        </w:tc>
        <w:tc>
          <w:tcPr/>
          <w:p>
            <w:pPr>
              <w:pStyle w:val="Compact"/>
              <w:jc w:val="left"/>
            </w:pPr>
            <w:r>
              <w:t xml:space="preserve">Extrait dix tables et les charge dans la couche Bronze</w:t>
            </w:r>
          </w:p>
        </w:tc>
      </w:tr>
      <w:tr>
        <w:tc>
          <w:tcPr/>
          <w:p>
            <w:pPr>
              <w:pStyle w:val="Compact"/>
              <w:jc w:val="left"/>
            </w:pPr>
            <w:r>
              <w:t xml:space="preserve">Entrepôt</w:t>
            </w:r>
          </w:p>
        </w:tc>
        <w:tc>
          <w:tcPr/>
          <w:p>
            <w:pPr>
              <w:pStyle w:val="Compact"/>
              <w:jc w:val="left"/>
            </w:pPr>
            <w:r>
              <w:t xml:space="preserve">Snowflake</w:t>
            </w:r>
          </w:p>
        </w:tc>
        <w:tc>
          <w:tcPr/>
          <w:p>
            <w:pPr>
              <w:pStyle w:val="Compact"/>
              <w:jc w:val="left"/>
            </w:pPr>
            <w:r>
              <w:t xml:space="preserve">Stocke les trois couches ; DuckDB en local pendant le développement</w:t>
            </w:r>
          </w:p>
        </w:tc>
      </w:tr>
      <w:tr>
        <w:tc>
          <w:tcPr/>
          <w:p>
            <w:pPr>
              <w:pStyle w:val="Compact"/>
              <w:jc w:val="left"/>
            </w:pPr>
            <w:r>
              <w:t xml:space="preserve">Transformation</w:t>
            </w:r>
          </w:p>
        </w:tc>
        <w:tc>
          <w:tcPr/>
          <w:p>
            <w:pPr>
              <w:pStyle w:val="Compact"/>
              <w:jc w:val="left"/>
            </w:pPr>
            <w:r>
              <w:t xml:space="preserve">dbt</w:t>
            </w:r>
          </w:p>
        </w:tc>
        <w:tc>
          <w:tcPr/>
          <w:p>
            <w:pPr>
              <w:pStyle w:val="Compact"/>
              <w:jc w:val="left"/>
            </w:pPr>
            <w:r>
              <w:t xml:space="preserve">Construit les couches Silver et Gold, exécute les tests</w:t>
            </w:r>
          </w:p>
        </w:tc>
      </w:tr>
      <w:tr>
        <w:tc>
          <w:tcPr/>
          <w:p>
            <w:pPr>
              <w:pStyle w:val="Compact"/>
              <w:jc w:val="left"/>
            </w:pPr>
            <w:r>
              <w:t xml:space="preserve">Orchestration</w:t>
            </w:r>
          </w:p>
        </w:tc>
        <w:tc>
          <w:tcPr/>
          <w:p>
            <w:pPr>
              <w:pStyle w:val="Compact"/>
              <w:jc w:val="left"/>
            </w:pPr>
            <w:r>
              <w:t xml:space="preserve">Dagster</w:t>
            </w:r>
          </w:p>
        </w:tc>
        <w:tc>
          <w:tcPr/>
          <w:p>
            <w:pPr>
              <w:pStyle w:val="Compact"/>
              <w:jc w:val="left"/>
            </w:pPr>
            <w:r>
              <w:t xml:space="preserve">Enchaîne DLT et dbt, affiche le lignage, planifie l’exécution</w:t>
            </w:r>
          </w:p>
        </w:tc>
      </w:tr>
      <w:tr>
        <w:tc>
          <w:tcPr/>
          <w:p>
            <w:pPr>
              <w:pStyle w:val="Compact"/>
              <w:jc w:val="left"/>
            </w:pPr>
            <w:r>
              <w:t xml:space="preserve">Génération du SQL</w:t>
            </w:r>
          </w:p>
        </w:tc>
        <w:tc>
          <w:tcPr/>
          <w:p>
            <w:pPr>
              <w:pStyle w:val="Compact"/>
              <w:jc w:val="left"/>
            </w:pPr>
            <w:r>
              <w:t xml:space="preserve">Cortex, Ollama</w:t>
            </w:r>
          </w:p>
        </w:tc>
        <w:tc>
          <w:tcPr/>
          <w:p>
            <w:pPr>
              <w:pStyle w:val="Compact"/>
              <w:jc w:val="left"/>
            </w:pPr>
            <w:r>
              <w:t xml:space="preserve">Traduit une question en SQL (Cortex sur Snowflake, sinon modèle local)</w:t>
            </w:r>
          </w:p>
        </w:tc>
      </w:tr>
      <w:tr>
        <w:tc>
          <w:tcPr/>
          <w:p>
            <w:pPr>
              <w:pStyle w:val="Compact"/>
              <w:jc w:val="left"/>
            </w:pPr>
            <w:r>
              <w:t xml:space="preserve">Restitution</w:t>
            </w:r>
          </w:p>
        </w:tc>
        <w:tc>
          <w:tcPr/>
          <w:p>
            <w:pPr>
              <w:pStyle w:val="Compact"/>
              <w:jc w:val="left"/>
            </w:pPr>
            <w:r>
              <w:t xml:space="preserve">Streamlit</w:t>
            </w:r>
          </w:p>
        </w:tc>
        <w:tc>
          <w:tcPr/>
          <w:p>
            <w:pPr>
              <w:pStyle w:val="Compact"/>
              <w:jc w:val="left"/>
            </w:pPr>
            <w:r>
              <w:t xml:space="preserve">Application WWI Insight : questions, résultats, dossiers</w:t>
            </w:r>
          </w:p>
        </w:tc>
      </w:tr>
    </w:tbl>
    <w:bookmarkEnd w:id="30"/>
    <w:p>
      <w:pPr>
        <w:pStyle w:val="BodyText"/>
      </w:pPr>
      <w:r>
        <w:t xml:space="preserve">Ces outils ont un point commun : leur configuration est du code (Python, SQL ou YAML) versionné avec Git. L’ensemble du projet tient dans un seul dépôt et se reconstruit avec quelques commandes, rappelées en annexe.</w:t>
      </w:r>
    </w:p>
    <w:bookmarkEnd w:id="31"/>
    <w:bookmarkEnd w:id="32"/>
    <w:bookmarkStart w:id="47" w:name="analyse-et-conception"/>
    <w:p>
      <w:pPr>
        <w:pStyle w:val="Heading1"/>
      </w:pPr>
      <w:r>
        <w:rPr>
          <w:rStyle w:val="SectionNumber"/>
        </w:rPr>
        <w:t xml:space="preserve">2</w:t>
      </w:r>
      <w:r>
        <w:tab/>
      </w:r>
      <w:r>
        <w:t xml:space="preserve">Analyse et conception</w:t>
      </w:r>
    </w:p>
    <w:bookmarkStart w:id="33" w:name="le-jeu-de-données-wide-world-importers"/>
    <w:p>
      <w:pPr>
        <w:pStyle w:val="Heading2"/>
      </w:pPr>
      <w:r>
        <w:rPr>
          <w:rStyle w:val="SectionNumber"/>
        </w:rPr>
        <w:t xml:space="preserve">2.1</w:t>
      </w:r>
      <w:r>
        <w:tab/>
      </w:r>
      <w:r>
        <w:t xml:space="preserve">Le jeu de données Wide World Importers</w:t>
      </w:r>
    </w:p>
    <w:p>
      <w:pPr>
        <w:pStyle w:val="FirstParagraph"/>
      </w:pPr>
      <w:r>
        <w:rPr>
          <w:iCs/>
          <w:i/>
        </w:rPr>
        <w:t xml:space="preserve">Wide World Importers</w:t>
      </w:r>
      <w:r>
        <w:t xml:space="preserve"> </w:t>
      </w:r>
      <w:r>
        <w:t xml:space="preserve">est une base d’exemple publiée par Microsoft. Elle décrit un grossiste fictif qui importe et revend des articles de nouveauté et d’emballage (rubans adhésifs, papier bulle, cartons, figurines) à des magasins de jouets et à des particuliers aux États-Unis. La base transactionnelle</w:t>
      </w:r>
      <w:r>
        <w:t xml:space="preserve"> </w:t>
      </w:r>
      <w:r>
        <w:rPr>
          <w:iCs/>
          <w:i/>
        </w:rPr>
        <w:t xml:space="preserve">WideWorldImporters</w:t>
      </w:r>
      <w:r>
        <w:t xml:space="preserve"> </w:t>
      </w:r>
      <w:r>
        <w:t xml:space="preserve">est organisée en plusieurs schémas, dont trois nous intéressent :</w:t>
      </w:r>
    </w:p>
    <w:p>
      <w:pPr>
        <w:numPr>
          <w:ilvl w:val="0"/>
          <w:numId w:val="1004"/>
        </w:numPr>
        <w:pStyle w:val="Compact"/>
      </w:pPr>
      <w:r>
        <w:rPr>
          <w:rStyle w:val="VerbatimChar"/>
        </w:rPr>
        <w:t xml:space="preserve">Sales</w:t>
      </w:r>
      <w:r>
        <w:t xml:space="preserve"> </w:t>
      </w:r>
      <w:r>
        <w:t xml:space="preserve">: clients, commandes, lignes de commande, factures et lignes de facture ;</w:t>
      </w:r>
    </w:p>
    <w:p>
      <w:pPr>
        <w:numPr>
          <w:ilvl w:val="0"/>
          <w:numId w:val="1004"/>
        </w:numPr>
        <w:pStyle w:val="Compact"/>
      </w:pPr>
      <w:r>
        <w:rPr>
          <w:rStyle w:val="VerbatimChar"/>
        </w:rPr>
        <w:t xml:space="preserve">Warehouse</w:t>
      </w:r>
      <w:r>
        <w:t xml:space="preserve"> </w:t>
      </w:r>
      <w:r>
        <w:t xml:space="preserve">: articles en stock et leurs caractéristiques ;</w:t>
      </w:r>
    </w:p>
    <w:p>
      <w:pPr>
        <w:numPr>
          <w:ilvl w:val="0"/>
          <w:numId w:val="1004"/>
        </w:numPr>
        <w:pStyle w:val="Compact"/>
      </w:pPr>
      <w:r>
        <w:rPr>
          <w:rStyle w:val="VerbatimChar"/>
        </w:rPr>
        <w:t xml:space="preserve">Application</w:t>
      </w:r>
      <w:r>
        <w:t xml:space="preserve"> </w:t>
      </w:r>
      <w:r>
        <w:t xml:space="preserve">: personnes (dont les vendeurs) et référentiel géographique.</w:t>
      </w:r>
    </w:p>
    <w:p>
      <w:pPr>
        <w:pStyle w:val="FirstParagraph"/>
      </w:pPr>
      <w:r>
        <w:t xml:space="preserve">Les commandes couvrent la période de janvier 2013 à mai 2016, soit 41 mois. La base contient 73 595 commandes, 231 412 lignes de commande, 663 clients et 227 articles.</w:t>
      </w:r>
    </w:p>
    <w:bookmarkEnd w:id="33"/>
    <w:bookmarkStart w:id="34" w:name="besoins-danalyse"/>
    <w:p>
      <w:pPr>
        <w:pStyle w:val="Heading2"/>
      </w:pPr>
      <w:r>
        <w:rPr>
          <w:rStyle w:val="SectionNumber"/>
        </w:rPr>
        <w:t xml:space="preserve">2.2</w:t>
      </w:r>
      <w:r>
        <w:tab/>
      </w:r>
      <w:r>
        <w:t xml:space="preserve">Besoins d’analyse</w:t>
      </w:r>
    </w:p>
    <w:p>
      <w:pPr>
        <w:pStyle w:val="FirstParagraph"/>
      </w:pPr>
      <w:r>
        <w:t xml:space="preserve">La consigne cite trois questions types, que l’application doit traiter :</w:t>
      </w:r>
    </w:p>
    <w:p>
      <w:pPr>
        <w:numPr>
          <w:ilvl w:val="0"/>
          <w:numId w:val="1005"/>
        </w:numPr>
        <w:pStyle w:val="Compact"/>
      </w:pPr>
      <w:r>
        <w:t xml:space="preserve">Quels sont les dix meilleurs clients par chiffre d’affaires ?</w:t>
      </w:r>
    </w:p>
    <w:p>
      <w:pPr>
        <w:numPr>
          <w:ilvl w:val="0"/>
          <w:numId w:val="1005"/>
        </w:numPr>
        <w:pStyle w:val="Compact"/>
      </w:pPr>
      <w:r>
        <w:t xml:space="preserve">Quel est le montant total des ventes par mois ?</w:t>
      </w:r>
    </w:p>
    <w:p>
      <w:pPr>
        <w:numPr>
          <w:ilvl w:val="0"/>
          <w:numId w:val="1005"/>
        </w:numPr>
        <w:pStyle w:val="Compact"/>
      </w:pPr>
      <w:r>
        <w:t xml:space="preserve">Quels produits génèrent le plus de bénéfices ?</w:t>
      </w:r>
    </w:p>
    <w:p>
      <w:pPr>
        <w:pStyle w:val="FirstParagraph"/>
      </w:pPr>
      <w:r>
        <w:t xml:space="preserve">Elles imposent trois mesures : le chiffre d’affaires hors taxes, le bénéfice et un découpage par mois. Nous y avons ajouté des questions voisines, utiles pour un responsable commercial : le chiffre d’affaires par année et par vendeur, les produits les plus vendus en quantité, le bénéfice par année et le panier moyen par commande.</w:t>
      </w:r>
    </w:p>
    <w:p>
      <w:pPr>
        <w:pStyle w:val="BodyText"/>
      </w:pPr>
      <w:r>
        <w:t xml:space="preserve">Une difficulté apparaît dès la troisième question : le bénéfice n’existe pas dans les commandes. Il n’est calculé qu’au moment de la facturation, dans la colonne</w:t>
      </w:r>
      <w:r>
        <w:t xml:space="preserve"> </w:t>
      </w:r>
      <w:r>
        <w:rPr>
          <w:rStyle w:val="VerbatimChar"/>
        </w:rPr>
        <w:t xml:space="preserve">LineProfit</w:t>
      </w:r>
      <w:r>
        <w:t xml:space="preserve"> </w:t>
      </w:r>
      <w:r>
        <w:t xml:space="preserve">de la table</w:t>
      </w:r>
      <w:r>
        <w:t xml:space="preserve"> </w:t>
      </w:r>
      <w:r>
        <w:rPr>
          <w:rStyle w:val="VerbatimChar"/>
        </w:rPr>
        <w:t xml:space="preserve">Sales.InvoiceLines</w:t>
      </w:r>
      <w:r>
        <w:t xml:space="preserve">. Le modèle Gold doit donc comporter deux tables de faits, l’une pour les commandes, l’autre pour les factures.</w:t>
      </w:r>
    </w:p>
    <w:bookmarkEnd w:id="34"/>
    <w:bookmarkStart w:id="38" w:name="architecture-générale"/>
    <w:p>
      <w:pPr>
        <w:pStyle w:val="Heading2"/>
      </w:pPr>
      <w:r>
        <w:rPr>
          <w:rStyle w:val="SectionNumber"/>
        </w:rPr>
        <w:t xml:space="preserve">2.3</w:t>
      </w:r>
      <w:r>
        <w:tab/>
      </w:r>
      <w:r>
        <w:t xml:space="preserve">Architecture générale</w:t>
      </w:r>
    </w:p>
    <w:p>
      <w:pPr>
        <w:pStyle w:val="FirstParagraph"/>
      </w:pPr>
      <w:r>
        <w:t xml:space="preserve">La figure 2.1 présente l’architecture retenue. DLT extrait les données de SQL Server et les charge dans le schéma</w:t>
      </w:r>
      <w:r>
        <w:t xml:space="preserve"> </w:t>
      </w:r>
      <w:r>
        <w:rPr>
          <w:rStyle w:val="VerbatimChar"/>
        </w:rPr>
        <w:t xml:space="preserve">BRONZE</w:t>
      </w:r>
      <w:r>
        <w:t xml:space="preserve"> </w:t>
      </w:r>
      <w:r>
        <w:t xml:space="preserve">de Snowflake. dbt construit ensuite les vues du schéma</w:t>
      </w:r>
      <w:r>
        <w:t xml:space="preserve"> </w:t>
      </w:r>
      <w:r>
        <w:rPr>
          <w:rStyle w:val="VerbatimChar"/>
        </w:rPr>
        <w:t xml:space="preserve">SILVER</w:t>
      </w:r>
      <w:r>
        <w:t xml:space="preserve"> </w:t>
      </w:r>
      <w:r>
        <w:t xml:space="preserve">et les tables du schéma</w:t>
      </w:r>
      <w:r>
        <w:t xml:space="preserve"> </w:t>
      </w:r>
      <w:r>
        <w:rPr>
          <w:rStyle w:val="VerbatimChar"/>
        </w:rPr>
        <w:t xml:space="preserve">GOLD</w:t>
      </w:r>
      <w:r>
        <w:t xml:space="preserve">. Dagster orchestre ces deux étapes et les planifie. L’application Streamlit lit uniquement la couche Gold ; elle délègue la génération du SQL à Snowflake Cortex ou, à défaut, à un modèle local servi par Ollama.</w:t>
      </w:r>
    </w:p>
    <w:p>
      <w:pPr>
        <w:pStyle w:val="CaptionedFigure"/>
      </w:pPr>
      <w:r>
        <w:drawing>
          <wp:inline>
            <wp:extent cx="5753100" cy="2493010"/>
            <wp:effectExtent b="0" l="0" r="0" t="0"/>
            <wp:docPr descr="Architecture de la plateforme" title="" id="36" name="Picture"/>
            <a:graphic>
              <a:graphicData uri="http://schemas.openxmlformats.org/drawingml/2006/picture">
                <pic:pic>
                  <pic:nvPicPr>
                    <pic:cNvPr descr="figures/architecture.png" id="37" name="Picture"/>
                    <pic:cNvPicPr>
                      <a:picLocks noChangeArrowheads="1" noChangeAspect="1"/>
                    </pic:cNvPicPr>
                  </pic:nvPicPr>
                  <pic:blipFill>
                    <a:blip r:embed="rId35"/>
                    <a:stretch>
                      <a:fillRect/>
                    </a:stretch>
                  </pic:blipFill>
                  <pic:spPr bwMode="auto">
                    <a:xfrm>
                      <a:off x="0" y="0"/>
                      <a:ext cx="5753100" cy="2493010"/>
                    </a:xfrm>
                    <a:prstGeom prst="rect">
                      <a:avLst/>
                    </a:prstGeom>
                    <a:noFill/>
                    <a:ln w="9525">
                      <a:noFill/>
                      <a:headEnd/>
                      <a:tailEnd/>
                    </a:ln>
                  </pic:spPr>
                </pic:pic>
              </a:graphicData>
            </a:graphic>
          </wp:inline>
        </w:drawing>
      </w:r>
    </w:p>
    <w:p>
      <w:pPr>
        <w:pStyle w:val="ImageCaption"/>
      </w:pPr>
      <w:r>
        <w:rPr>
          <w:bCs/>
          <w:b/>
        </w:rPr>
        <w:t xml:space="preserve">Figure 2.1</w:t>
      </w:r>
      <w:r>
        <w:t xml:space="preserve"> – Architecture de la plateforme</w:t>
      </w:r>
    </w:p>
    <w:bookmarkEnd w:id="38"/>
    <w:bookmarkStart w:id="40" w:name="tables-sources-retenues"/>
    <w:p>
      <w:pPr>
        <w:pStyle w:val="Heading2"/>
      </w:pPr>
      <w:r>
        <w:rPr>
          <w:rStyle w:val="SectionNumber"/>
        </w:rPr>
        <w:t xml:space="preserve">2.4</w:t>
      </w:r>
      <w:r>
        <w:tab/>
      </w:r>
      <w:r>
        <w:t xml:space="preserve">Tables sources retenues</w:t>
      </w:r>
    </w:p>
    <w:p>
      <w:pPr>
        <w:pStyle w:val="FirstParagraph"/>
      </w:pPr>
      <w:r>
        <w:t xml:space="preserve">Nous n’avons chargé que les tables nécessaires aux analyses visées. Le tableau 2.1 précise l’usage de chacune.</w:t>
      </w:r>
    </w:p>
    <w:bookmarkStart w:id="39" w:name="tab:sources"/>
    <w:p>
      <w:pPr>
        <w:pStyle w:val="TableCaption"/>
      </w:pPr>
      <w:r>
        <w:rPr>
          <w:bCs/>
          <w:b/>
        </w:rPr>
        <w:t xml:space="preserve">Tableau 2.1</w:t>
      </w:r>
      <w:r>
        <w:t xml:space="preserve"> – Tables extraites de</w:t>
      </w:r>
      <w:r>
        <w:t xml:space="preserve"> </w:t>
      </w:r>
      <w:r>
        <w:rPr>
          <w:iCs/>
          <w:i/>
        </w:rPr>
        <w:t xml:space="preserve">WideWorldImporters</w:t>
      </w:r>
    </w:p>
    <w:tbl>
      <w:tblPr>
        <w:tblStyle w:val="Table"/>
        <w:tblW w:type="auto" w:w="0"/>
        <w:tblLook w:firstRow="1" w:lastRow="0" w:firstColumn="0" w:lastColumn="0" w:noHBand="0" w:noVBand="0" w:val="0020"/>
        <w:jc w:val="start"/>
        <w:tblCaption w:val="Tableau 2.1 – Tables extraites de WideWorldImporters"/>
      </w:tblPr>
      <w:tblGrid>
        <w:gridCol w:w="3960"/>
        <w:gridCol w:w="3960"/>
      </w:tblGrid>
      <w:tr>
        <w:trPr>
          <w:tblHeader w:val="true"/>
        </w:trPr>
        <w:tc>
          <w:tcPr/>
          <w:p>
            <w:pPr>
              <w:pStyle w:val="Compact"/>
              <w:jc w:val="left"/>
            </w:pPr>
            <w:r>
              <w:t xml:space="preserve">Table SQL Server</w:t>
            </w:r>
          </w:p>
        </w:tc>
        <w:tc>
          <w:tcPr/>
          <w:p>
            <w:pPr>
              <w:pStyle w:val="Compact"/>
              <w:jc w:val="left"/>
            </w:pPr>
            <w:r>
              <w:t xml:space="preserve">Usage dans le modèle</w:t>
            </w:r>
          </w:p>
        </w:tc>
      </w:tr>
      <w:tr>
        <w:tc>
          <w:tcPr/>
          <w:p>
            <w:pPr>
              <w:pStyle w:val="Compact"/>
              <w:jc w:val="left"/>
            </w:pPr>
            <w:r>
              <w:rPr>
                <w:rStyle w:val="VerbatimChar"/>
              </w:rPr>
              <w:t xml:space="preserve">Sales.Customers</w:t>
            </w:r>
          </w:p>
        </w:tc>
        <w:tc>
          <w:tcPr/>
          <w:p>
            <w:pPr>
              <w:pStyle w:val="Compact"/>
              <w:jc w:val="left"/>
            </w:pPr>
            <w:r>
              <w:t xml:space="preserve">Dimension client et ville de livraison</w:t>
            </w:r>
          </w:p>
        </w:tc>
      </w:tr>
      <w:tr>
        <w:tc>
          <w:tcPr/>
          <w:p>
            <w:pPr>
              <w:pStyle w:val="Compact"/>
              <w:jc w:val="left"/>
            </w:pPr>
            <w:r>
              <w:rPr>
                <w:rStyle w:val="VerbatimChar"/>
              </w:rPr>
              <w:t xml:space="preserve">Sales.Orders</w:t>
            </w:r>
          </w:p>
        </w:tc>
        <w:tc>
          <w:tcPr/>
          <w:p>
            <w:pPr>
              <w:pStyle w:val="Compact"/>
              <w:jc w:val="left"/>
            </w:pPr>
            <w:r>
              <w:t xml:space="preserve">En-tête des commandes : date, client, vendeur</w:t>
            </w:r>
          </w:p>
        </w:tc>
      </w:tr>
      <w:tr>
        <w:tc>
          <w:tcPr/>
          <w:p>
            <w:pPr>
              <w:pStyle w:val="Compact"/>
              <w:jc w:val="left"/>
            </w:pPr>
            <w:r>
              <w:rPr>
                <w:rStyle w:val="VerbatimChar"/>
              </w:rPr>
              <w:t xml:space="preserve">Sales.OrderLines</w:t>
            </w:r>
          </w:p>
        </w:tc>
        <w:tc>
          <w:tcPr/>
          <w:p>
            <w:pPr>
              <w:pStyle w:val="Compact"/>
              <w:jc w:val="left"/>
            </w:pPr>
            <w:r>
              <w:t xml:space="preserve">Lignes de commande : article, quantité, prix</w:t>
            </w:r>
          </w:p>
        </w:tc>
      </w:tr>
      <w:tr>
        <w:tc>
          <w:tcPr/>
          <w:p>
            <w:pPr>
              <w:pStyle w:val="Compact"/>
              <w:jc w:val="left"/>
            </w:pPr>
            <w:r>
              <w:rPr>
                <w:rStyle w:val="VerbatimChar"/>
              </w:rPr>
              <w:t xml:space="preserve">Sales.Invoices</w:t>
            </w:r>
          </w:p>
        </w:tc>
        <w:tc>
          <w:tcPr/>
          <w:p>
            <w:pPr>
              <w:pStyle w:val="Compact"/>
              <w:jc w:val="left"/>
            </w:pPr>
            <w:r>
              <w:t xml:space="preserve">En-tête des factures : date de facturation</w:t>
            </w:r>
          </w:p>
        </w:tc>
      </w:tr>
      <w:tr>
        <w:tc>
          <w:tcPr/>
          <w:p>
            <w:pPr>
              <w:pStyle w:val="Compact"/>
              <w:jc w:val="left"/>
            </w:pPr>
            <w:r>
              <w:rPr>
                <w:rStyle w:val="VerbatimChar"/>
              </w:rPr>
              <w:t xml:space="preserve">Sales.InvoiceLines</w:t>
            </w:r>
          </w:p>
        </w:tc>
        <w:tc>
          <w:tcPr/>
          <w:p>
            <w:pPr>
              <w:pStyle w:val="Compact"/>
              <w:jc w:val="left"/>
            </w:pPr>
            <w:r>
              <w:t xml:space="preserve">Lignes de facture : montant facturé et bénéfice</w:t>
            </w:r>
          </w:p>
        </w:tc>
      </w:tr>
      <w:tr>
        <w:tc>
          <w:tcPr/>
          <w:p>
            <w:pPr>
              <w:pStyle w:val="Compact"/>
              <w:jc w:val="left"/>
            </w:pPr>
            <w:r>
              <w:rPr>
                <w:rStyle w:val="VerbatimChar"/>
              </w:rPr>
              <w:t xml:space="preserve">Warehouse.StockItems</w:t>
            </w:r>
          </w:p>
        </w:tc>
        <w:tc>
          <w:tcPr/>
          <w:p>
            <w:pPr>
              <w:pStyle w:val="Compact"/>
              <w:jc w:val="left"/>
            </w:pPr>
            <w:r>
              <w:t xml:space="preserve">Dimension produit</w:t>
            </w:r>
          </w:p>
        </w:tc>
      </w:tr>
      <w:tr>
        <w:tc>
          <w:tcPr/>
          <w:p>
            <w:pPr>
              <w:pStyle w:val="Compact"/>
              <w:jc w:val="left"/>
            </w:pPr>
            <w:r>
              <w:rPr>
                <w:rStyle w:val="VerbatimChar"/>
              </w:rPr>
              <w:t xml:space="preserve">Application.People</w:t>
            </w:r>
          </w:p>
        </w:tc>
        <w:tc>
          <w:tcPr/>
          <w:p>
            <w:pPr>
              <w:pStyle w:val="Compact"/>
              <w:jc w:val="left"/>
            </w:pPr>
            <w:r>
              <w:t xml:space="preserve">Dimension vendeur (</w:t>
            </w:r>
            <w:r>
              <w:rPr>
                <w:rStyle w:val="VerbatimChar"/>
              </w:rPr>
              <w:t xml:space="preserve">IsSalesperson = 1</w:t>
            </w:r>
            <w:r>
              <w:t xml:space="preserve">)</w:t>
            </w:r>
          </w:p>
        </w:tc>
      </w:tr>
      <w:tr>
        <w:tc>
          <w:tcPr/>
          <w:p>
            <w:pPr>
              <w:pStyle w:val="Compact"/>
              <w:jc w:val="left"/>
            </w:pPr>
            <w:r>
              <w:rPr>
                <w:rStyle w:val="VerbatimChar"/>
              </w:rPr>
              <w:t xml:space="preserve">Application.Cities</w:t>
            </w:r>
          </w:p>
        </w:tc>
        <w:tc>
          <w:tcPr/>
          <w:p>
            <w:pPr>
              <w:pStyle w:val="Compact"/>
              <w:jc w:val="left"/>
            </w:pPr>
            <w:r>
              <w:t xml:space="preserve">Ville de livraison des clients</w:t>
            </w:r>
          </w:p>
        </w:tc>
      </w:tr>
      <w:tr>
        <w:tc>
          <w:tcPr/>
          <w:p>
            <w:pPr>
              <w:pStyle w:val="Compact"/>
              <w:jc w:val="left"/>
            </w:pPr>
            <w:r>
              <w:rPr>
                <w:rStyle w:val="VerbatimChar"/>
              </w:rPr>
              <w:t xml:space="preserve">Application.StateProvinces</w:t>
            </w:r>
          </w:p>
        </w:tc>
        <w:tc>
          <w:tcPr/>
          <w:p>
            <w:pPr>
              <w:pStyle w:val="Compact"/>
              <w:jc w:val="left"/>
            </w:pPr>
            <w:r>
              <w:t xml:space="preserve">Référentiel géographique (chargé pour des analyses futures)</w:t>
            </w:r>
          </w:p>
        </w:tc>
      </w:tr>
      <w:tr>
        <w:tc>
          <w:tcPr/>
          <w:p>
            <w:pPr>
              <w:pStyle w:val="Compact"/>
              <w:jc w:val="left"/>
            </w:pPr>
            <w:r>
              <w:rPr>
                <w:rStyle w:val="VerbatimChar"/>
              </w:rPr>
              <w:t xml:space="preserve">Application.Countries</w:t>
            </w:r>
          </w:p>
        </w:tc>
        <w:tc>
          <w:tcPr/>
          <w:p>
            <w:pPr>
              <w:pStyle w:val="Compact"/>
              <w:jc w:val="left"/>
            </w:pPr>
            <w:r>
              <w:t xml:space="preserve">Référentiel géographique (chargé pour des analyses futures)</w:t>
            </w:r>
          </w:p>
        </w:tc>
      </w:tr>
    </w:tbl>
    <w:bookmarkEnd w:id="39"/>
    <w:bookmarkEnd w:id="40"/>
    <w:bookmarkStart w:id="44" w:name="modèle-de-la-couche-gold"/>
    <w:p>
      <w:pPr>
        <w:pStyle w:val="Heading2"/>
      </w:pPr>
      <w:r>
        <w:rPr>
          <w:rStyle w:val="SectionNumber"/>
        </w:rPr>
        <w:t xml:space="preserve">2.5</w:t>
      </w:r>
      <w:r>
        <w:tab/>
      </w:r>
      <w:r>
        <w:t xml:space="preserve">Modèle de la couche Gold</w:t>
      </w:r>
    </w:p>
    <w:p>
      <w:pPr>
        <w:pStyle w:val="FirstParagraph"/>
      </w:pPr>
      <w:r>
        <w:t xml:space="preserve">La couche Gold suit un schéma en étoile à deux tables de faits, représenté par la figure 2.2.</w:t>
      </w:r>
    </w:p>
    <w:p>
      <w:pPr>
        <w:numPr>
          <w:ilvl w:val="0"/>
          <w:numId w:val="1006"/>
        </w:numPr>
        <w:pStyle w:val="Compact"/>
      </w:pPr>
      <w:r>
        <w:rPr>
          <w:rStyle w:val="VerbatimChar"/>
        </w:rPr>
        <w:t xml:space="preserve">fct_sales</w:t>
      </w:r>
      <w:r>
        <w:t xml:space="preserve"> </w:t>
      </w:r>
      <w:r>
        <w:t xml:space="preserve">a pour grain la</w:t>
      </w:r>
      <w:r>
        <w:t xml:space="preserve"> </w:t>
      </w:r>
      <w:r>
        <w:rPr>
          <w:bCs/>
          <w:b/>
        </w:rPr>
        <w:t xml:space="preserve">ligne de commande</w:t>
      </w:r>
      <w:r>
        <w:t xml:space="preserve">. Elle porte la quantité, le prix unitaire et le chiffre d’affaires hors taxes et toutes taxes comprises.</w:t>
      </w:r>
    </w:p>
    <w:p>
      <w:pPr>
        <w:numPr>
          <w:ilvl w:val="0"/>
          <w:numId w:val="1006"/>
        </w:numPr>
        <w:pStyle w:val="Compact"/>
      </w:pPr>
      <w:r>
        <w:rPr>
          <w:rStyle w:val="VerbatimChar"/>
        </w:rPr>
        <w:t xml:space="preserve">fct_invoice_lines</w:t>
      </w:r>
      <w:r>
        <w:t xml:space="preserve"> </w:t>
      </w:r>
      <w:r>
        <w:t xml:space="preserve">a pour grain la</w:t>
      </w:r>
      <w:r>
        <w:t xml:space="preserve"> </w:t>
      </w:r>
      <w:r>
        <w:rPr>
          <w:bCs/>
          <w:b/>
        </w:rPr>
        <w:t xml:space="preserve">ligne de facture</w:t>
      </w:r>
      <w:r>
        <w:t xml:space="preserve">. Elle porte le montant facturé et le bénéfice.</w:t>
      </w:r>
    </w:p>
    <w:p>
      <w:pPr>
        <w:pStyle w:val="FirstParagraph"/>
      </w:pPr>
      <w:r>
        <w:t xml:space="preserve">Les deux tables partagent les dimensions</w:t>
      </w:r>
      <w:r>
        <w:t xml:space="preserve"> </w:t>
      </w:r>
      <w:r>
        <w:rPr>
          <w:rStyle w:val="VerbatimChar"/>
        </w:rPr>
        <w:t xml:space="preserve">dim_customers</w:t>
      </w:r>
      <w:r>
        <w:t xml:space="preserve">,</w:t>
      </w:r>
      <w:r>
        <w:t xml:space="preserve"> </w:t>
      </w:r>
      <w:r>
        <w:rPr>
          <w:rStyle w:val="VerbatimChar"/>
        </w:rPr>
        <w:t xml:space="preserve">dim_products</w:t>
      </w:r>
      <w:r>
        <w:t xml:space="preserve"> </w:t>
      </w:r>
      <w:r>
        <w:t xml:space="preserve">et</w:t>
      </w:r>
      <w:r>
        <w:t xml:space="preserve"> </w:t>
      </w:r>
      <w:r>
        <w:rPr>
          <w:rStyle w:val="VerbatimChar"/>
        </w:rPr>
        <w:t xml:space="preserve">dim_salespeople</w:t>
      </w:r>
      <w:r>
        <w:t xml:space="preserve">. La dimension</w:t>
      </w:r>
      <w:r>
        <w:t xml:space="preserve"> </w:t>
      </w:r>
      <w:r>
        <w:rPr>
          <w:rStyle w:val="VerbatimChar"/>
        </w:rPr>
        <w:t xml:space="preserve">dim_date</w:t>
      </w:r>
      <w:r>
        <w:t xml:space="preserve"> </w:t>
      </w:r>
      <w:r>
        <w:t xml:space="preserve">couvre chaque jour de 2013 à 2016 ; elle se joint aux faits sur la date de commande ou de facturation.</w:t>
      </w:r>
    </w:p>
    <w:p>
      <w:pPr>
        <w:pStyle w:val="CaptionedFigure"/>
      </w:pPr>
      <w:r>
        <w:drawing>
          <wp:inline>
            <wp:extent cx="5465445" cy="3179895"/>
            <wp:effectExtent b="0" l="0" r="0" t="0"/>
            <wp:docPr descr="Schéma en étoile de la couche Gold" title="" id="42" name="Picture"/>
            <a:graphic>
              <a:graphicData uri="http://schemas.openxmlformats.org/drawingml/2006/picture">
                <pic:pic>
                  <pic:nvPicPr>
                    <pic:cNvPr descr="figures/etoile.png" id="43" name="Picture"/>
                    <pic:cNvPicPr>
                      <a:picLocks noChangeArrowheads="1" noChangeAspect="1"/>
                    </pic:cNvPicPr>
                  </pic:nvPicPr>
                  <pic:blipFill>
                    <a:blip r:embed="rId41"/>
                    <a:stretch>
                      <a:fillRect/>
                    </a:stretch>
                  </pic:blipFill>
                  <pic:spPr bwMode="auto">
                    <a:xfrm>
                      <a:off x="0" y="0"/>
                      <a:ext cx="5465445" cy="3179895"/>
                    </a:xfrm>
                    <a:prstGeom prst="rect">
                      <a:avLst/>
                    </a:prstGeom>
                    <a:noFill/>
                    <a:ln w="9525">
                      <a:noFill/>
                      <a:headEnd/>
                      <a:tailEnd/>
                    </a:ln>
                  </pic:spPr>
                </pic:pic>
              </a:graphicData>
            </a:graphic>
          </wp:inline>
        </w:drawing>
      </w:r>
    </w:p>
    <w:p>
      <w:pPr>
        <w:pStyle w:val="ImageCaption"/>
      </w:pPr>
      <w:r>
        <w:rPr>
          <w:bCs/>
          <w:b/>
        </w:rPr>
        <w:t xml:space="preserve">Figure 2.2</w:t>
      </w:r>
      <w:r>
        <w:t xml:space="preserve"> – Schéma en étoile de la couche Gold</w:t>
      </w:r>
    </w:p>
    <w:p>
      <w:pPr>
        <w:pStyle w:val="BodyText"/>
      </w:pPr>
      <w:r>
        <w:t xml:space="preserve">Le chiffre d’affaires est défini comme la somme de</w:t>
      </w:r>
      <w:r>
        <w:t xml:space="preserve"> </w:t>
      </w:r>
      <w:r>
        <w:rPr>
          <w:rStyle w:val="VerbatimChar"/>
        </w:rPr>
        <w:t xml:space="preserve">quantity × unit_price</w:t>
      </w:r>
      <w:r>
        <w:t xml:space="preserve">, hors taxes. Nous avons écrit cette définition dans la documentation dbt et dans la consigne transmise au modèle de langage, pour que l’application et un analyste obtiennent le même chiffre.</w:t>
      </w:r>
    </w:p>
    <w:bookmarkEnd w:id="44"/>
    <w:bookmarkStart w:id="46" w:name="X88d1062a200030031ec212ef0166ef8bfe76ade"/>
    <w:p>
      <w:pPr>
        <w:pStyle w:val="Heading2"/>
      </w:pPr>
      <w:r>
        <w:rPr>
          <w:rStyle w:val="SectionNumber"/>
        </w:rPr>
        <w:t xml:space="preserve">2.6</w:t>
      </w:r>
      <w:r>
        <w:tab/>
      </w:r>
      <w:r>
        <w:t xml:space="preserve">Environnements de développement et de production</w:t>
      </w:r>
    </w:p>
    <w:p>
      <w:pPr>
        <w:pStyle w:val="FirstParagraph"/>
      </w:pPr>
      <w:r>
        <w:t xml:space="preserve">Le même code s’exécute dans deux environnements. En développement, DLT et dbt écrivent dans un fichier DuckDB local ; en production, ils écrivent dans Snowflake. Le choix se fait uniquement par des variables d’environnement, regroupées dans le tableau 2.2.</w:t>
      </w:r>
    </w:p>
    <w:bookmarkStart w:id="45" w:name="tab:env"/>
    <w:p>
      <w:pPr>
        <w:pStyle w:val="TableCaption"/>
      </w:pPr>
      <w:r>
        <w:rPr>
          <w:bCs/>
          <w:b/>
        </w:rPr>
        <w:t xml:space="preserve">Tableau 2.2</w:t>
      </w:r>
      <w:r>
        <w:t xml:space="preserve"> – Variables d’environnement qui sélectionnent la destination</w:t>
      </w:r>
    </w:p>
    <w:tbl>
      <w:tblPr>
        <w:tblStyle w:val="Table"/>
        <w:tblW w:type="auto" w:w="0"/>
        <w:tblLook w:firstRow="1" w:lastRow="0" w:firstColumn="0" w:lastColumn="0" w:noHBand="0" w:noVBand="0" w:val="0020"/>
        <w:jc w:val="start"/>
        <w:tblCaption w:val="Tableau 2.2 – Variables d’environnement qui sélectionnent la destination"/>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Développement (DuckDB)</w:t>
            </w:r>
          </w:p>
        </w:tc>
        <w:tc>
          <w:tcPr/>
          <w:p>
            <w:pPr>
              <w:pStyle w:val="Compact"/>
              <w:jc w:val="left"/>
            </w:pPr>
            <w:r>
              <w:t xml:space="preserve">Production (Snowflake)</w:t>
            </w:r>
          </w:p>
        </w:tc>
      </w:tr>
      <w:tr>
        <w:tc>
          <w:tcPr/>
          <w:p>
            <w:pPr>
              <w:pStyle w:val="Compact"/>
              <w:jc w:val="left"/>
            </w:pPr>
            <w:r>
              <w:rPr>
                <w:rStyle w:val="VerbatimChar"/>
              </w:rPr>
              <w:t xml:space="preserve">DLT_DESTINATION</w:t>
            </w:r>
          </w:p>
        </w:tc>
        <w:tc>
          <w:tcPr/>
          <w:p>
            <w:pPr>
              <w:pStyle w:val="Compact"/>
              <w:jc w:val="left"/>
            </w:pPr>
            <w:r>
              <w:rPr>
                <w:rStyle w:val="VerbatimChar"/>
              </w:rPr>
              <w:t xml:space="preserve">duckdb</w:t>
            </w:r>
          </w:p>
        </w:tc>
        <w:tc>
          <w:tcPr/>
          <w:p>
            <w:pPr>
              <w:pStyle w:val="Compact"/>
              <w:jc w:val="left"/>
            </w:pPr>
            <w:r>
              <w:rPr>
                <w:rStyle w:val="VerbatimChar"/>
              </w:rPr>
              <w:t xml:space="preserve">snowflake</w:t>
            </w:r>
          </w:p>
        </w:tc>
      </w:tr>
      <w:tr>
        <w:tc>
          <w:tcPr/>
          <w:p>
            <w:pPr>
              <w:pStyle w:val="Compact"/>
              <w:jc w:val="left"/>
            </w:pPr>
            <w:r>
              <w:rPr>
                <w:rStyle w:val="VerbatimChar"/>
              </w:rPr>
              <w:t xml:space="preserve">DBT_TARGET</w:t>
            </w:r>
          </w:p>
        </w:tc>
        <w:tc>
          <w:tcPr/>
          <w:p>
            <w:pPr>
              <w:pStyle w:val="Compact"/>
              <w:jc w:val="left"/>
            </w:pPr>
            <w:r>
              <w:rPr>
                <w:rStyle w:val="VerbatimChar"/>
              </w:rPr>
              <w:t xml:space="preserve">dev</w:t>
            </w:r>
          </w:p>
        </w:tc>
        <w:tc>
          <w:tcPr/>
          <w:p>
            <w:pPr>
              <w:pStyle w:val="Compact"/>
              <w:jc w:val="left"/>
            </w:pPr>
            <w:r>
              <w:rPr>
                <w:rStyle w:val="VerbatimChar"/>
              </w:rPr>
              <w:t xml:space="preserve">prod</w:t>
            </w:r>
          </w:p>
        </w:tc>
      </w:tr>
      <w:tr>
        <w:tc>
          <w:tcPr/>
          <w:p>
            <w:pPr>
              <w:pStyle w:val="Compact"/>
              <w:jc w:val="left"/>
            </w:pPr>
            <w:r>
              <w:rPr>
                <w:rStyle w:val="VerbatimChar"/>
              </w:rPr>
              <w:t xml:space="preserve">DUCKDB_PATH</w:t>
            </w:r>
          </w:p>
        </w:tc>
        <w:tc>
          <w:tcPr/>
          <w:p>
            <w:pPr>
              <w:pStyle w:val="Compact"/>
              <w:jc w:val="left"/>
            </w:pPr>
            <w:r>
              <w:t xml:space="preserve">chemin du fichier local</w:t>
            </w:r>
          </w:p>
        </w:tc>
        <w:tc>
          <w:tcPr/>
          <w:p>
            <w:pPr>
              <w:pStyle w:val="Compact"/>
              <w:jc w:val="left"/>
            </w:pPr>
            <w:r>
              <w:t xml:space="preserve">non utilisée</w:t>
            </w:r>
          </w:p>
        </w:tc>
      </w:tr>
      <w:tr>
        <w:tc>
          <w:tcPr/>
          <w:p>
            <w:pPr>
              <w:pStyle w:val="Compact"/>
              <w:jc w:val="left"/>
            </w:pPr>
            <w:r>
              <w:rPr>
                <w:rStyle w:val="VerbatimChar"/>
              </w:rPr>
              <w:t xml:space="preserve">SF_ACCOUNT</w:t>
            </w:r>
            <w:r>
              <w:t xml:space="preserve">, …</w:t>
            </w:r>
          </w:p>
        </w:tc>
        <w:tc>
          <w:tcPr/>
          <w:p>
            <w:pPr>
              <w:pStyle w:val="Compact"/>
              <w:jc w:val="left"/>
            </w:pPr>
            <w:r>
              <w:t xml:space="preserve">non utilisées</w:t>
            </w:r>
          </w:p>
        </w:tc>
        <w:tc>
          <w:tcPr/>
          <w:p>
            <w:pPr>
              <w:pStyle w:val="Compact"/>
              <w:jc w:val="left"/>
            </w:pPr>
            <w:r>
              <w:t xml:space="preserve">identifiants Snowflake</w:t>
            </w:r>
          </w:p>
        </w:tc>
      </w:tr>
    </w:tbl>
    <w:bookmarkEnd w:id="45"/>
    <w:p>
      <w:pPr>
        <w:pStyle w:val="BodyText"/>
      </w:pPr>
      <w:r>
        <w:t xml:space="preserve">Ce découplage a deux avantages : il évite de consommer des crédits Snowflake pendant la mise au point, et il permet de tester une modification en local avant de la déployer.</w:t>
      </w:r>
    </w:p>
    <w:bookmarkEnd w:id="46"/>
    <w:bookmarkEnd w:id="47"/>
    <w:bookmarkStart w:id="149" w:name="mise-en-œuvre-de-la-plateforme"/>
    <w:p>
      <w:pPr>
        <w:pStyle w:val="Heading1"/>
      </w:pPr>
      <w:r>
        <w:rPr>
          <w:rStyle w:val="SectionNumber"/>
        </w:rPr>
        <w:t xml:space="preserve">3</w:t>
      </w:r>
      <w:r>
        <w:tab/>
      </w:r>
      <w:r>
        <w:t xml:space="preserve">Mise en œuvre de la plateforme</w:t>
      </w:r>
    </w:p>
    <w:p>
      <w:pPr>
        <w:pStyle w:val="FirstParagraph"/>
      </w:pPr>
      <w:r>
        <w:t xml:space="preserve">Ce chapitre suit l’ordre de la chaîne : initialisation du projet, ingestion, transformations, orchestration, passage à Snowflake, puis application. Les extraits de code sont tirés du dépôt ; les numéros de ligne cités renvoient aux extraits tels qu’ils sont reproduits.</w:t>
      </w:r>
    </w:p>
    <w:bookmarkStart w:id="57" w:name="initialisation-du-projet"/>
    <w:p>
      <w:pPr>
        <w:pStyle w:val="Heading2"/>
      </w:pPr>
      <w:r>
        <w:rPr>
          <w:rStyle w:val="SectionNumber"/>
        </w:rPr>
        <w:t xml:space="preserve">3.1</w:t>
      </w:r>
      <w:r>
        <w:tab/>
      </w:r>
      <w:r>
        <w:t xml:space="preserve">Initialisation du projet</w:t>
      </w:r>
    </w:p>
    <w:p>
      <w:pPr>
        <w:pStyle w:val="FirstParagraph"/>
      </w:pPr>
      <w:r>
        <w:t xml:space="preserve">Le projet a été créé avec</w:t>
      </w:r>
      <w:r>
        <w:t xml:space="preserve"> </w:t>
      </w:r>
      <w:r>
        <w:rPr>
          <w:rStyle w:val="VerbatimChar"/>
        </w:rPr>
        <w:t xml:space="preserve">create-dagster</w:t>
      </w:r>
      <w:r>
        <w:t xml:space="preserve">, l’outil d’initialisation de Dagster, qui génère un projet Python géré par</w:t>
      </w:r>
      <w:r>
        <w:t xml:space="preserve"> </w:t>
      </w:r>
      <w:r>
        <w:rPr>
          <w:rStyle w:val="VerbatimChar"/>
        </w:rPr>
        <w:t xml:space="preserve">uv</w:t>
      </w:r>
      <w:r>
        <w:t xml:space="preserve"> </w:t>
      </w:r>
      <w:r>
        <w:t xml:space="preserve">(figure 3.1). Les dépendances ont ensuite été ajoutées avec</w:t>
      </w:r>
      <w:r>
        <w:t xml:space="preserve"> </w:t>
      </w:r>
      <w:r>
        <w:rPr>
          <w:rStyle w:val="VerbatimChar"/>
        </w:rPr>
        <w:t xml:space="preserve">uv add</w:t>
      </w:r>
      <w:r>
        <w:t xml:space="preserve"> </w:t>
      </w:r>
      <w:r>
        <w:t xml:space="preserve">:</w:t>
      </w:r>
      <w:r>
        <w:t xml:space="preserve"> </w:t>
      </w:r>
      <w:r>
        <w:rPr>
          <w:rStyle w:val="VerbatimChar"/>
        </w:rPr>
        <w:t xml:space="preserve">dlt[snowflake,duckdb,mssql]</w:t>
      </w:r>
      <w:r>
        <w:t xml:space="preserve">,</w:t>
      </w:r>
      <w:r>
        <w:t xml:space="preserve"> </w:t>
      </w:r>
      <w:r>
        <w:rPr>
          <w:rStyle w:val="VerbatimChar"/>
        </w:rPr>
        <w:t xml:space="preserve">pyodbc</w:t>
      </w:r>
      <w:r>
        <w:t xml:space="preserve"> </w:t>
      </w:r>
      <w:r>
        <w:t xml:space="preserve">et</w:t>
      </w:r>
      <w:r>
        <w:t xml:space="preserve"> </w:t>
      </w:r>
      <w:r>
        <w:rPr>
          <w:rStyle w:val="VerbatimChar"/>
        </w:rPr>
        <w:t xml:space="preserve">dagster-dlt</w:t>
      </w:r>
      <w:r>
        <w:t xml:space="preserve"> </w:t>
      </w:r>
      <w:r>
        <w:t xml:space="preserve">pour l’ingestion,</w:t>
      </w:r>
      <w:r>
        <w:t xml:space="preserve"> </w:t>
      </w:r>
      <w:r>
        <w:rPr>
          <w:rStyle w:val="VerbatimChar"/>
        </w:rPr>
        <w:t xml:space="preserve">dagster-dbt</w:t>
      </w:r>
      <w:r>
        <w:t xml:space="preserve">,</w:t>
      </w:r>
      <w:r>
        <w:t xml:space="preserve"> </w:t>
      </w:r>
      <w:r>
        <w:rPr>
          <w:rStyle w:val="VerbatimChar"/>
        </w:rPr>
        <w:t xml:space="preserve">dbt-duckdb</w:t>
      </w:r>
      <w:r>
        <w:t xml:space="preserve"> </w:t>
      </w:r>
      <w:r>
        <w:t xml:space="preserve">et</w:t>
      </w:r>
      <w:r>
        <w:t xml:space="preserve"> </w:t>
      </w:r>
      <w:r>
        <w:rPr>
          <w:rStyle w:val="VerbatimChar"/>
        </w:rPr>
        <w:t xml:space="preserve">dbt-snowflake</w:t>
      </w:r>
      <w:r>
        <w:t xml:space="preserve"> </w:t>
      </w:r>
      <w:r>
        <w:t xml:space="preserve">pour les transformations,</w:t>
      </w:r>
      <w:r>
        <w:t xml:space="preserve"> </w:t>
      </w:r>
      <w:r>
        <w:rPr>
          <w:rStyle w:val="VerbatimChar"/>
        </w:rPr>
        <w:t xml:space="preserve">streamlit</w:t>
      </w:r>
      <w:r>
        <w:t xml:space="preserve"> </w:t>
      </w:r>
      <w:r>
        <w:t xml:space="preserve">et</w:t>
      </w:r>
      <w:r>
        <w:t xml:space="preserve"> </w:t>
      </w:r>
      <w:r>
        <w:rPr>
          <w:rStyle w:val="VerbatimChar"/>
        </w:rPr>
        <w:t xml:space="preserve">bcrypt</w:t>
      </w:r>
      <w:r>
        <w:t xml:space="preserve"> </w:t>
      </w:r>
      <w:r>
        <w:t xml:space="preserve">pour l’application.</w:t>
      </w:r>
    </w:p>
    <w:p>
      <w:pPr>
        <w:pStyle w:val="CaptionedFigure"/>
      </w:pPr>
      <w:r>
        <w:drawing>
          <wp:inline>
            <wp:extent cx="5465445" cy="3232558"/>
            <wp:effectExtent b="0" l="0" r="0" t="0"/>
            <wp:docPr descr="Création du projet avec create-dagster" title="" id="49" name="Picture"/>
            <a:graphic>
              <a:graphicData uri="http://schemas.openxmlformats.org/drawingml/2006/picture">
                <pic:pic>
                  <pic:nvPicPr>
                    <pic:cNvPr descr="../../captures/Capture2.png" id="50" name="Picture"/>
                    <pic:cNvPicPr>
                      <a:picLocks noChangeArrowheads="1" noChangeAspect="1"/>
                    </pic:cNvPicPr>
                  </pic:nvPicPr>
                  <pic:blipFill>
                    <a:blip r:embed="rId48"/>
                    <a:stretch>
                      <a:fillRect/>
                    </a:stretch>
                  </pic:blipFill>
                  <pic:spPr bwMode="auto">
                    <a:xfrm>
                      <a:off x="0" y="0"/>
                      <a:ext cx="5465445" cy="3232558"/>
                    </a:xfrm>
                    <a:prstGeom prst="rect">
                      <a:avLst/>
                    </a:prstGeom>
                    <a:noFill/>
                    <a:ln w="9525">
                      <a:noFill/>
                      <a:headEnd/>
                      <a:tailEnd/>
                    </a:ln>
                  </pic:spPr>
                </pic:pic>
              </a:graphicData>
            </a:graphic>
          </wp:inline>
        </w:drawing>
      </w:r>
    </w:p>
    <w:p>
      <w:pPr>
        <w:pStyle w:val="ImageCaption"/>
      </w:pPr>
      <w:r>
        <w:rPr>
          <w:bCs/>
          <w:b/>
        </w:rPr>
        <w:t xml:space="preserve">Figure 3.1</w:t>
      </w:r>
      <w:r>
        <w:t xml:space="preserve"> – Création du projet avec</w:t>
      </w:r>
      <w:r>
        <w:t xml:space="preserve"> </w:t>
      </w:r>
      <w:r>
        <w:rPr>
          <w:rStyle w:val="VerbatimChar"/>
        </w:rPr>
        <w:t xml:space="preserve">create-dagster</w:t>
      </w:r>
    </w:p>
    <w:p>
      <w:pPr>
        <w:pStyle w:val="BodyText"/>
      </w:pPr>
      <w:r>
        <w:t xml:space="preserve">Dagster organise un projet en</w:t>
      </w:r>
      <w:r>
        <w:t xml:space="preserve"> </w:t>
      </w:r>
      <w:r>
        <w:rPr>
          <w:iCs/>
          <w:i/>
        </w:rPr>
        <w:t xml:space="preserve">composants</w:t>
      </w:r>
      <w:r>
        <w:t xml:space="preserve">. Chaque dossier placé sous</w:t>
      </w:r>
      <w:r>
        <w:t xml:space="preserve"> </w:t>
      </w:r>
      <w:r>
        <w:rPr>
          <w:rStyle w:val="VerbatimChar"/>
        </w:rPr>
        <w:t xml:space="preserve">defs/</w:t>
      </w:r>
      <w:r>
        <w:t xml:space="preserve"> </w:t>
      </w:r>
      <w:r>
        <w:t xml:space="preserve">et contenant un fichier</w:t>
      </w:r>
      <w:r>
        <w:t xml:space="preserve"> </w:t>
      </w:r>
      <w:r>
        <w:rPr>
          <w:rStyle w:val="VerbatimChar"/>
        </w:rPr>
        <w:t xml:space="preserve">defs.yaml</w:t>
      </w:r>
      <w:r>
        <w:t xml:space="preserve"> </w:t>
      </w:r>
      <w:r>
        <w:t xml:space="preserve">est chargé automatiquement au démarrage. Le composant d’ingestion a été généré par la commande</w:t>
      </w:r>
      <w:r>
        <w:t xml:space="preserve"> </w:t>
      </w:r>
      <w:r>
        <w:rPr>
          <w:rStyle w:val="VerbatimChar"/>
        </w:rPr>
        <w:t xml:space="preserve">dg scaffold defs dagster_dlt.DltLoadCollectionComponent mssql_ingestion</w:t>
      </w:r>
      <w:r>
        <w:t xml:space="preserve">, avec SQL Server comme source et Snowflake comme destination (figure 3.2), puis le projet dbt a été placé dans le dossier</w:t>
      </w:r>
      <w:r>
        <w:t xml:space="preserve"> </w:t>
      </w:r>
      <w:r>
        <w:rPr>
          <w:rStyle w:val="VerbatimChar"/>
        </w:rPr>
        <w:t xml:space="preserve">defs/transform</w:t>
      </w:r>
      <w:r>
        <w:t xml:space="preserve">.</w:t>
      </w:r>
    </w:p>
    <w:p>
      <w:pPr>
        <w:pStyle w:val="CaptionedFigure"/>
      </w:pPr>
      <w:r>
        <w:drawing>
          <wp:inline>
            <wp:extent cx="5465445" cy="2180922"/>
            <wp:effectExtent b="0" l="0" r="0" t="0"/>
            <wp:docPr descr="Ajout des dépendances et génération du composant DLT" title="" id="52" name="Picture"/>
            <a:graphic>
              <a:graphicData uri="http://schemas.openxmlformats.org/drawingml/2006/picture">
                <pic:pic>
                  <pic:nvPicPr>
                    <pic:cNvPr descr="../../captures/Capture3.png" id="53" name="Picture"/>
                    <pic:cNvPicPr>
                      <a:picLocks noChangeArrowheads="1" noChangeAspect="1"/>
                    </pic:cNvPicPr>
                  </pic:nvPicPr>
                  <pic:blipFill>
                    <a:blip r:embed="rId51"/>
                    <a:stretch>
                      <a:fillRect/>
                    </a:stretch>
                  </pic:blipFill>
                  <pic:spPr bwMode="auto">
                    <a:xfrm>
                      <a:off x="0" y="0"/>
                      <a:ext cx="5465445" cy="2180922"/>
                    </a:xfrm>
                    <a:prstGeom prst="rect">
                      <a:avLst/>
                    </a:prstGeom>
                    <a:noFill/>
                    <a:ln w="9525">
                      <a:noFill/>
                      <a:headEnd/>
                      <a:tailEnd/>
                    </a:ln>
                  </pic:spPr>
                </pic:pic>
              </a:graphicData>
            </a:graphic>
          </wp:inline>
        </w:drawing>
      </w:r>
    </w:p>
    <w:p>
      <w:pPr>
        <w:pStyle w:val="ImageCaption"/>
      </w:pPr>
      <w:r>
        <w:rPr>
          <w:bCs/>
          <w:b/>
        </w:rPr>
        <w:t xml:space="preserve">Figure 3.2</w:t>
      </w:r>
      <w:r>
        <w:t xml:space="preserve"> – Ajout des dépendances et génération du composant DLT</w:t>
      </w:r>
    </w:p>
    <w:p>
      <w:pPr>
        <w:pStyle w:val="BodyText"/>
      </w:pPr>
      <w:r>
        <w:t xml:space="preserve">La figure 3.3 montre l’arborescence obtenue. On y retrouve les deux composants (</w:t>
      </w:r>
      <w:r>
        <w:rPr>
          <w:rStyle w:val="VerbatimChar"/>
        </w:rPr>
        <w:t xml:space="preserve">mssql_ingestion</w:t>
      </w:r>
      <w:r>
        <w:t xml:space="preserve"> </w:t>
      </w:r>
      <w:r>
        <w:t xml:space="preserve">et</w:t>
      </w:r>
      <w:r>
        <w:t xml:space="preserve"> </w:t>
      </w:r>
      <w:r>
        <w:rPr>
          <w:rStyle w:val="VerbatimChar"/>
        </w:rPr>
        <w:t xml:space="preserve">transform</w:t>
      </w:r>
      <w:r>
        <w:t xml:space="preserve">), le fichier</w:t>
      </w:r>
      <w:r>
        <w:t xml:space="preserve"> </w:t>
      </w:r>
      <w:r>
        <w:rPr>
          <w:rStyle w:val="VerbatimChar"/>
        </w:rPr>
        <w:t xml:space="preserve">schedules.py</w:t>
      </w:r>
      <w:r>
        <w:t xml:space="preserve"> </w:t>
      </w:r>
      <w:r>
        <w:t xml:space="preserve">qui définit la planification, et le dossier</w:t>
      </w:r>
      <w:r>
        <w:t xml:space="preserve"> </w:t>
      </w:r>
      <w:r>
        <w:rPr>
          <w:rStyle w:val="VerbatimChar"/>
        </w:rPr>
        <w:t xml:space="preserve">presentation_app</w:t>
      </w:r>
      <w:r>
        <w:t xml:space="preserve"> </w:t>
      </w:r>
      <w:r>
        <w:t xml:space="preserve">qui contient l’application.</w:t>
      </w:r>
    </w:p>
    <w:p>
      <w:pPr>
        <w:pStyle w:val="CaptionedFigure"/>
      </w:pPr>
      <w:r>
        <w:drawing>
          <wp:inline>
            <wp:extent cx="1956054" cy="5163561"/>
            <wp:effectExtent b="0" l="0" r="0" t="0"/>
            <wp:docPr descr="Arborescence du projet" title="" id="55" name="Picture"/>
            <a:graphic>
              <a:graphicData uri="http://schemas.openxmlformats.org/drawingml/2006/picture">
                <pic:pic>
                  <pic:nvPicPr>
                    <pic:cNvPr descr="../../captures/Capture4.png" id="56" name="Picture"/>
                    <pic:cNvPicPr>
                      <a:picLocks noChangeArrowheads="1" noChangeAspect="1"/>
                    </pic:cNvPicPr>
                  </pic:nvPicPr>
                  <pic:blipFill>
                    <a:blip r:embed="rId54"/>
                    <a:stretch>
                      <a:fillRect/>
                    </a:stretch>
                  </pic:blipFill>
                  <pic:spPr bwMode="auto">
                    <a:xfrm>
                      <a:off x="0" y="0"/>
                      <a:ext cx="1956054" cy="5163561"/>
                    </a:xfrm>
                    <a:prstGeom prst="rect">
                      <a:avLst/>
                    </a:prstGeom>
                    <a:noFill/>
                    <a:ln w="9525">
                      <a:noFill/>
                      <a:headEnd/>
                      <a:tailEnd/>
                    </a:ln>
                  </pic:spPr>
                </pic:pic>
              </a:graphicData>
            </a:graphic>
          </wp:inline>
        </w:drawing>
      </w:r>
    </w:p>
    <w:p>
      <w:pPr>
        <w:pStyle w:val="ImageCaption"/>
      </w:pPr>
      <w:r>
        <w:rPr>
          <w:bCs/>
          <w:b/>
        </w:rPr>
        <w:t xml:space="preserve">Figure 3.3</w:t>
      </w:r>
      <w:r>
        <w:t xml:space="preserve"> – Arborescence du projet</w:t>
      </w:r>
    </w:p>
    <w:bookmarkEnd w:id="57"/>
    <w:bookmarkStart w:id="67" w:name="ingestion-de-la-couche-bronze-avec-dlt"/>
    <w:p>
      <w:pPr>
        <w:pStyle w:val="Heading2"/>
      </w:pPr>
      <w:r>
        <w:rPr>
          <w:rStyle w:val="SectionNumber"/>
        </w:rPr>
        <w:t xml:space="preserve">3.2</w:t>
      </w:r>
      <w:r>
        <w:tab/>
      </w:r>
      <w:r>
        <w:t xml:space="preserve">Ingestion de la couche Bronze avec DLT</w:t>
      </w:r>
    </w:p>
    <w:p>
      <w:pPr>
        <w:pStyle w:val="FirstParagraph"/>
      </w:pPr>
      <w:r>
        <w:t xml:space="preserve">La couche Bronze reçoit les données de SQL Server sans transformation métier. Chacune des dix tables retenues au chapitre précédent est déclarée comme une ressource de la source DLT</w:t>
      </w:r>
      <w:r>
        <w:t xml:space="preserve"> </w:t>
      </w:r>
      <w:r>
        <w:rPr>
          <w:rStyle w:val="VerbatimChar"/>
        </w:rPr>
        <w:t xml:space="preserve">wwi</w:t>
      </w:r>
      <w:r>
        <w:t xml:space="preserve">, dans le fichier</w:t>
      </w:r>
      <w:r>
        <w:t xml:space="preserve"> </w:t>
      </w:r>
      <w:r>
        <w:rPr>
          <w:rStyle w:val="VerbatimChar"/>
        </w:rPr>
        <w:t xml:space="preserve">defs/mssql_ingestion/loads.py</w:t>
      </w:r>
      <w:r>
        <w:t xml:space="preserve">.</w:t>
      </w:r>
    </w:p>
    <w:p>
      <w:pPr>
        <w:pStyle w:val="BodyText"/>
      </w:pPr>
      <w:r>
        <w:rPr>
          <w:bCs/>
          <w:b/>
        </w:rPr>
        <w:t xml:space="preserve">Code 3.1</w:t>
      </w:r>
      <w:r>
        <w:t xml:space="preserve"> – Déclaration de la source DLT (defs/mssql_ingestion/loads.py)</w:t>
      </w:r>
    </w:p>
    <w:bookmarkStart w:id="58" w:name="code:dlt-source"/>
    <w:p>
      <w:pPr>
        <w:pStyle w:val="SourceCode"/>
      </w:pP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dlt.source(name</w:t>
      </w:r>
      <w:r>
        <w:rPr>
          <w:rStyle w:val="OperatorTok"/>
        </w:rPr>
        <w:t xml:space="preserve">=</w:t>
      </w:r>
      <w:r>
        <w:rPr>
          <w:rStyle w:val="StringTok"/>
        </w:rPr>
        <w:t xml:space="preserve">"wwi"</w:t>
      </w:r>
      <w:r>
        <w:rPr>
          <w:rStyle w:val="NormalTok"/>
        </w:rPr>
        <w:t xml:space="preserve">)</w:t>
      </w:r>
      <w:r>
        <w:br/>
      </w:r>
      <w:r>
        <w:rPr>
          <w:rStyle w:val="NormalTok"/>
        </w:rPr>
        <w:t xml:space="preserve"> </w:t>
      </w:r>
      <w:r>
        <w:rPr>
          <w:rStyle w:val="DecValTok"/>
        </w:rPr>
        <w:t xml:space="preserve">2</w:t>
      </w:r>
      <w:r>
        <w:rPr>
          <w:rStyle w:val="NormalTok"/>
        </w:rPr>
        <w:t xml:space="preserve">  </w:t>
      </w:r>
      <w:r>
        <w:rPr>
          <w:rStyle w:val="KeywordTok"/>
        </w:rPr>
        <w:t xml:space="preserve">def</w:t>
      </w:r>
      <w:r>
        <w:rPr>
          <w:rStyle w:val="NormalTok"/>
        </w:rPr>
        <w:t xml:space="preserve"> wwi_source():</w:t>
      </w:r>
      <w:r>
        <w:br/>
      </w:r>
      <w:r>
        <w:rPr>
          <w:rStyle w:val="NormalTok"/>
        </w:rPr>
        <w:t xml:space="preserve"> </w:t>
      </w:r>
      <w:r>
        <w:rPr>
          <w:rStyle w:val="DecValTok"/>
        </w:rPr>
        <w:t xml:space="preserve">3</w:t>
      </w:r>
      <w:r>
        <w:rPr>
          <w:rStyle w:val="NormalTok"/>
        </w:rPr>
        <w:t xml:space="preserve">      </w:t>
      </w:r>
      <w:r>
        <w:rPr>
          <w:rStyle w:val="ControlFlowTok"/>
        </w:rPr>
        <w:t xml:space="preserve">yield</w:t>
      </w:r>
      <w:r>
        <w:rPr>
          <w:rStyle w:val="NormalTok"/>
        </w:rPr>
        <w:t xml:space="preserve"> sql_table(</w:t>
      </w:r>
      <w:r>
        <w:br/>
      </w:r>
      <w:r>
        <w:rPr>
          <w:rStyle w:val="NormalTok"/>
        </w:rPr>
        <w:t xml:space="preserve"> </w:t>
      </w:r>
      <w:r>
        <w:rPr>
          <w:rStyle w:val="DecValTok"/>
        </w:rPr>
        <w:t xml:space="preserve">4</w:t>
      </w:r>
      <w:r>
        <w:rPr>
          <w:rStyle w:val="NormalTok"/>
        </w:rPr>
        <w:t xml:space="preserve">          credentials</w:t>
      </w:r>
      <w:r>
        <w:rPr>
          <w:rStyle w:val="OperatorTok"/>
        </w:rPr>
        <w:t xml:space="preserve">=</w:t>
      </w:r>
      <w:r>
        <w:rPr>
          <w:rStyle w:val="NormalTok"/>
        </w:rPr>
        <w:t xml:space="preserve">credentials, schema</w:t>
      </w:r>
      <w:r>
        <w:rPr>
          <w:rStyle w:val="OperatorTok"/>
        </w:rPr>
        <w:t xml:space="preserve">=</w:t>
      </w:r>
      <w:r>
        <w:rPr>
          <w:rStyle w:val="StringTok"/>
        </w:rPr>
        <w:t xml:space="preserve">"Sales"</w:t>
      </w:r>
      <w:r>
        <w:rPr>
          <w:rStyle w:val="NormalTok"/>
        </w:rPr>
        <w:t xml:space="preserve">, table</w:t>
      </w:r>
      <w:r>
        <w:rPr>
          <w:rStyle w:val="OperatorTok"/>
        </w:rPr>
        <w:t xml:space="preserve">=</w:t>
      </w:r>
      <w:r>
        <w:rPr>
          <w:rStyle w:val="StringTok"/>
        </w:rPr>
        <w:t xml:space="preserve">"Customers"</w:t>
      </w:r>
      <w:r>
        <w:rPr>
          <w:rStyle w:val="NormalTok"/>
        </w:rPr>
        <w:t xml:space="preserve">,</w:t>
      </w:r>
      <w:r>
        <w:br/>
      </w:r>
      <w:r>
        <w:rPr>
          <w:rStyle w:val="NormalTok"/>
        </w:rPr>
        <w:t xml:space="preserve"> </w:t>
      </w:r>
      <w:r>
        <w:rPr>
          <w:rStyle w:val="DecValTok"/>
        </w:rPr>
        <w:t xml:space="preserve">5</w:t>
      </w:r>
      <w:r>
        <w:rPr>
          <w:rStyle w:val="NormalTok"/>
        </w:rPr>
        <w:t xml:space="preserve">          write_disposition</w:t>
      </w:r>
      <w:r>
        <w:rPr>
          <w:rStyle w:val="OperatorTok"/>
        </w:rPr>
        <w:t xml:space="preserve">=</w:t>
      </w:r>
      <w:r>
        <w:rPr>
          <w:rStyle w:val="StringTok"/>
        </w:rPr>
        <w:t xml:space="preserve">"replace"</w:t>
      </w:r>
      <w:r>
        <w:rPr>
          <w:rStyle w:val="NormalTok"/>
        </w:rPr>
        <w:t xml:space="preserve">,</w:t>
      </w:r>
      <w:r>
        <w:br/>
      </w:r>
      <w:r>
        <w:rPr>
          <w:rStyle w:val="NormalTok"/>
        </w:rPr>
        <w:t xml:space="preserve"> </w:t>
      </w:r>
      <w:r>
        <w:rPr>
          <w:rStyle w:val="DecValTok"/>
        </w:rPr>
        <w:t xml:space="preserve">6</w:t>
      </w:r>
      <w:r>
        <w:rPr>
          <w:rStyle w:val="NormalTok"/>
        </w:rPr>
        <w:t xml:space="preserve">          excluded_columns</w:t>
      </w:r>
      <w:r>
        <w:rPr>
          <w:rStyle w:val="OperatorTok"/>
        </w:rPr>
        <w:t xml:space="preserve">=</w:t>
      </w:r>
      <w:r>
        <w:rPr>
          <w:rStyle w:val="NormalTok"/>
        </w:rPr>
        <w:t xml:space="preserve">[</w:t>
      </w:r>
      <w:r>
        <w:rPr>
          <w:rStyle w:val="StringTok"/>
        </w:rPr>
        <w:t xml:space="preserve">"DeliveryLocation"</w:t>
      </w:r>
      <w:r>
        <w:rPr>
          <w:rStyle w:val="NormalTok"/>
        </w:rPr>
        <w:t xml:space="preserve">],</w:t>
      </w:r>
      <w:r>
        <w:br/>
      </w:r>
      <w:r>
        <w:rPr>
          <w:rStyle w:val="NormalTok"/>
        </w:rPr>
        <w:t xml:space="preserve"> </w:t>
      </w:r>
      <w:r>
        <w:rPr>
          <w:rStyle w:val="DecValTok"/>
        </w:rPr>
        <w:t xml:space="preserve">7</w:t>
      </w:r>
      <w:r>
        <w:rPr>
          <w:rStyle w:val="NormalTok"/>
        </w:rPr>
        <w:t xml:space="preserve">      )</w:t>
      </w:r>
      <w:r>
        <w:br/>
      </w:r>
      <w:r>
        <w:rPr>
          <w:rStyle w:val="NormalTok"/>
        </w:rPr>
        <w:t xml:space="preserve"> </w:t>
      </w:r>
      <w:r>
        <w:rPr>
          <w:rStyle w:val="DecValTok"/>
        </w:rPr>
        <w:t xml:space="preserve">8</w:t>
      </w:r>
      <w:r>
        <w:rPr>
          <w:rStyle w:val="NormalTok"/>
        </w:rPr>
        <w:t xml:space="preserve">      </w:t>
      </w:r>
      <w:r>
        <w:rPr>
          <w:rStyle w:val="ControlFlowTok"/>
        </w:rPr>
        <w:t xml:space="preserve">yield</w:t>
      </w:r>
      <w:r>
        <w:rPr>
          <w:rStyle w:val="NormalTok"/>
        </w:rPr>
        <w:t xml:space="preserve"> sql_table(</w:t>
      </w:r>
      <w:r>
        <w:br/>
      </w:r>
      <w:r>
        <w:rPr>
          <w:rStyle w:val="NormalTok"/>
        </w:rPr>
        <w:t xml:space="preserve"> </w:t>
      </w:r>
      <w:r>
        <w:rPr>
          <w:rStyle w:val="DecValTok"/>
        </w:rPr>
        <w:t xml:space="preserve">9</w:t>
      </w:r>
      <w:r>
        <w:rPr>
          <w:rStyle w:val="NormalTok"/>
        </w:rPr>
        <w:t xml:space="preserve">          credentials</w:t>
      </w:r>
      <w:r>
        <w:rPr>
          <w:rStyle w:val="OperatorTok"/>
        </w:rPr>
        <w:t xml:space="preserve">=</w:t>
      </w:r>
      <w:r>
        <w:rPr>
          <w:rStyle w:val="NormalTok"/>
        </w:rPr>
        <w:t xml:space="preserve">credentials, schema</w:t>
      </w:r>
      <w:r>
        <w:rPr>
          <w:rStyle w:val="OperatorTok"/>
        </w:rPr>
        <w:t xml:space="preserve">=</w:t>
      </w:r>
      <w:r>
        <w:rPr>
          <w:rStyle w:val="StringTok"/>
        </w:rPr>
        <w:t xml:space="preserve">"Sales"</w:t>
      </w:r>
      <w:r>
        <w:rPr>
          <w:rStyle w:val="NormalTok"/>
        </w:rPr>
        <w:t xml:space="preserve">, table</w:t>
      </w:r>
      <w:r>
        <w:rPr>
          <w:rStyle w:val="OperatorTok"/>
        </w:rPr>
        <w:t xml:space="preserve">=</w:t>
      </w:r>
      <w:r>
        <w:rPr>
          <w:rStyle w:val="StringTok"/>
        </w:rPr>
        <w:t xml:space="preserve">"Orders"</w:t>
      </w:r>
      <w:r>
        <w:rPr>
          <w:rStyle w:val="NormalTok"/>
        </w:rPr>
        <w:t xml:space="preserve">,</w:t>
      </w:r>
      <w:r>
        <w:br/>
      </w:r>
      <w:r>
        <w:rPr>
          <w:rStyle w:val="DecValTok"/>
        </w:rPr>
        <w:t xml:space="preserve">10</w:t>
      </w:r>
      <w:r>
        <w:rPr>
          <w:rStyle w:val="NormalTok"/>
        </w:rPr>
        <w:t xml:space="preserve">          write_disposition</w:t>
      </w:r>
      <w:r>
        <w:rPr>
          <w:rStyle w:val="OperatorTok"/>
        </w:rPr>
        <w:t xml:space="preserve">=</w:t>
      </w:r>
      <w:r>
        <w:rPr>
          <w:rStyle w:val="StringTok"/>
        </w:rPr>
        <w:t xml:space="preserve">"merge"</w:t>
      </w:r>
      <w:r>
        <w:rPr>
          <w:rStyle w:val="NormalTok"/>
        </w:rPr>
        <w:t xml:space="preserve">, primary_key</w:t>
      </w:r>
      <w:r>
        <w:rPr>
          <w:rStyle w:val="OperatorTok"/>
        </w:rPr>
        <w:t xml:space="preserve">=</w:t>
      </w:r>
      <w:r>
        <w:rPr>
          <w:rStyle w:val="StringTok"/>
        </w:rPr>
        <w:t xml:space="preserve">"OrderID"</w:t>
      </w:r>
      <w:r>
        <w:rPr>
          <w:rStyle w:val="NormalTok"/>
        </w:rPr>
        <w:t xml:space="preserve">,</w:t>
      </w:r>
      <w:r>
        <w:br/>
      </w:r>
      <w:r>
        <w:rPr>
          <w:rStyle w:val="DecValTok"/>
        </w:rPr>
        <w:t xml:space="preserve">11</w:t>
      </w:r>
      <w:r>
        <w:rPr>
          <w:rStyle w:val="NormalTok"/>
        </w:rPr>
        <w:t xml:space="preserve">          incremental</w:t>
      </w:r>
      <w:r>
        <w:rPr>
          <w:rStyle w:val="OperatorTok"/>
        </w:rPr>
        <w:t xml:space="preserve">=</w:t>
      </w:r>
      <w:r>
        <w:rPr>
          <w:rStyle w:val="NormalTok"/>
        </w:rPr>
        <w:t xml:space="preserve">dlt.sources.incremental(</w:t>
      </w:r>
      <w:r>
        <w:rPr>
          <w:rStyle w:val="StringTok"/>
        </w:rPr>
        <w:t xml:space="preserve">"LastEditedWhen"</w:t>
      </w:r>
      <w:r>
        <w:rPr>
          <w:rStyle w:val="NormalTok"/>
        </w:rPr>
        <w:t xml:space="preserve">),</w:t>
      </w:r>
      <w:r>
        <w:br/>
      </w:r>
      <w:r>
        <w:rPr>
          <w:rStyle w:val="DecValTok"/>
        </w:rPr>
        <w:t xml:space="preserve">12</w:t>
      </w:r>
      <w:r>
        <w:rPr>
          <w:rStyle w:val="NormalTok"/>
        </w:rPr>
        <w:t xml:space="preserve">      )</w:t>
      </w:r>
      <w:r>
        <w:br/>
      </w:r>
      <w:r>
        <w:rPr>
          <w:rStyle w:val="DecValTok"/>
        </w:rPr>
        <w:t xml:space="preserve">13</w:t>
      </w:r>
      <w:r>
        <w:rPr>
          <w:rStyle w:val="NormalTok"/>
        </w:rPr>
        <w:t xml:space="preserve">      </w:t>
      </w:r>
      <w:r>
        <w:rPr>
          <w:rStyle w:val="CommentTok"/>
        </w:rPr>
        <w:t xml:space="preserve"># ... huit autres tables, déclarées de la même façon</w:t>
      </w:r>
    </w:p>
    <w:bookmarkEnd w:id="58"/>
    <w:p>
      <w:pPr>
        <w:pStyle w:val="FirstParagraph"/>
      </w:pPr>
      <w:r>
        <w:t xml:space="preserve">Deux modes de chargement coexistent. Les tables de référence, peu volumineuses, sont rechargées entièrement à chaque exécution (</w:t>
      </w:r>
      <w:r>
        <w:rPr>
          <w:rStyle w:val="VerbatimChar"/>
        </w:rPr>
        <w:t xml:space="preserve">write_disposition="replace"</w:t>
      </w:r>
      <w:r>
        <w:t xml:space="preserve">, ligne 5). Les tables de faits sont chargées de façon incrémentale : DLT mémorise la plus grande valeur de</w:t>
      </w:r>
      <w:r>
        <w:t xml:space="preserve"> </w:t>
      </w:r>
      <w:r>
        <w:rPr>
          <w:rStyle w:val="VerbatimChar"/>
        </w:rPr>
        <w:t xml:space="preserve">LastEditedWhen</w:t>
      </w:r>
      <w:r>
        <w:t xml:space="preserve"> </w:t>
      </w:r>
      <w:r>
        <w:t xml:space="preserve">déjà lue et, à l’exécution suivante, ne récupère que les lignes modifiées depuis (ligne 11). Le mode</w:t>
      </w:r>
      <w:r>
        <w:t xml:space="preserve"> </w:t>
      </w:r>
      <w:r>
        <w:rPr>
          <w:rStyle w:val="VerbatimChar"/>
        </w:rPr>
        <w:t xml:space="preserve">merge</w:t>
      </w:r>
      <w:r>
        <w:t xml:space="preserve">, associé à la clé primaire</w:t>
      </w:r>
      <w:r>
        <w:t xml:space="preserve"> </w:t>
      </w:r>
      <w:r>
        <w:rPr>
          <w:rStyle w:val="VerbatimChar"/>
        </w:rPr>
        <w:t xml:space="preserve">OrderID</w:t>
      </w:r>
      <w:r>
        <w:t xml:space="preserve"> </w:t>
      </w:r>
      <w:r>
        <w:t xml:space="preserve">(ligne 10), met à jour une commande déjà chargée au lieu de la dupliquer.</w:t>
      </w:r>
    </w:p>
    <w:p>
      <w:pPr>
        <w:pStyle w:val="BodyText"/>
      </w:pPr>
      <w:r>
        <w:t xml:space="preserve">Les colonnes de type</w:t>
      </w:r>
      <w:r>
        <w:t xml:space="preserve"> </w:t>
      </w:r>
      <w:r>
        <w:rPr>
          <w:rStyle w:val="VerbatimChar"/>
        </w:rPr>
        <w:t xml:space="preserve">geography</w:t>
      </w:r>
      <w:r>
        <w:t xml:space="preserve"> </w:t>
      </w:r>
      <w:r>
        <w:t xml:space="preserve">de SQL Server (</w:t>
      </w:r>
      <w:r>
        <w:rPr>
          <w:rStyle w:val="VerbatimChar"/>
        </w:rPr>
        <w:t xml:space="preserve">DeliveryLocation</w:t>
      </w:r>
      <w:r>
        <w:t xml:space="preserve">,</w:t>
      </w:r>
      <w:r>
        <w:t xml:space="preserve"> </w:t>
      </w:r>
      <w:r>
        <w:rPr>
          <w:rStyle w:val="VerbatimChar"/>
        </w:rPr>
        <w:t xml:space="preserve">Location</w:t>
      </w:r>
      <w:r>
        <w:t xml:space="preserve">,</w:t>
      </w:r>
      <w:r>
        <w:t xml:space="preserve"> </w:t>
      </w:r>
      <w:r>
        <w:rPr>
          <w:rStyle w:val="VerbatimChar"/>
        </w:rPr>
        <w:t xml:space="preserve">Border</w:t>
      </w:r>
      <w:r>
        <w:t xml:space="preserve">) sont exclues (ligne 6), de même que les photos et les mots de passe chiffrés de la table</w:t>
      </w:r>
      <w:r>
        <w:t xml:space="preserve"> </w:t>
      </w:r>
      <w:r>
        <w:rPr>
          <w:rStyle w:val="VerbatimChar"/>
        </w:rPr>
        <w:t xml:space="preserve">People</w:t>
      </w:r>
      <w:r>
        <w:t xml:space="preserve">. Avant cette exclusion, chaque chargement affichait un avertissement de DLT, qui ne sait pas convertir ce type (figure 3.4).</w:t>
      </w:r>
    </w:p>
    <w:p>
      <w:pPr>
        <w:pStyle w:val="CaptionedFigure"/>
      </w:pPr>
      <w:r>
        <w:drawing>
          <wp:inline>
            <wp:extent cx="5177790" cy="1517332"/>
            <wp:effectExtent b="0" l="0" r="0" t="0"/>
            <wp:docPr descr="Avertissements de DLT sur les colonnes geography lors des premiers chargements" title="" id="60" name="Picture"/>
            <a:graphic>
              <a:graphicData uri="http://schemas.openxmlformats.org/drawingml/2006/picture">
                <pic:pic>
                  <pic:nvPicPr>
                    <pic:cNvPr descr="../../captures/Capture6.png" id="61" name="Picture"/>
                    <pic:cNvPicPr>
                      <a:picLocks noChangeArrowheads="1" noChangeAspect="1"/>
                    </pic:cNvPicPr>
                  </pic:nvPicPr>
                  <pic:blipFill>
                    <a:blip r:embed="rId59"/>
                    <a:stretch>
                      <a:fillRect/>
                    </a:stretch>
                  </pic:blipFill>
                  <pic:spPr bwMode="auto">
                    <a:xfrm>
                      <a:off x="0" y="0"/>
                      <a:ext cx="5177790" cy="1517332"/>
                    </a:xfrm>
                    <a:prstGeom prst="rect">
                      <a:avLst/>
                    </a:prstGeom>
                    <a:noFill/>
                    <a:ln w="9525">
                      <a:noFill/>
                      <a:headEnd/>
                      <a:tailEnd/>
                    </a:ln>
                  </pic:spPr>
                </pic:pic>
              </a:graphicData>
            </a:graphic>
          </wp:inline>
        </w:drawing>
      </w:r>
    </w:p>
    <w:p>
      <w:pPr>
        <w:pStyle w:val="ImageCaption"/>
      </w:pPr>
      <w:r>
        <w:rPr>
          <w:bCs/>
          <w:b/>
        </w:rPr>
        <w:t xml:space="preserve">Figure 3.4</w:t>
      </w:r>
      <w:r>
        <w:t xml:space="preserve"> – Avertissements de DLT sur les colonnes</w:t>
      </w:r>
      <w:r>
        <w:t xml:space="preserve"> </w:t>
      </w:r>
      <w:r>
        <w:rPr>
          <w:rStyle w:val="VerbatimChar"/>
        </w:rPr>
        <w:t xml:space="preserve">geography</w:t>
      </w:r>
      <w:r>
        <w:t xml:space="preserve"> </w:t>
      </w:r>
      <w:r>
        <w:t xml:space="preserve">lors des premiers chargements</w:t>
      </w:r>
    </w:p>
    <w:p>
      <w:pPr>
        <w:pStyle w:val="BodyText"/>
      </w:pPr>
      <w:r>
        <w:t xml:space="preserve">Le code d’accès à SQL Server ne contient aucun mot de passe. DLT lit la chaîne de connexion dans le fichier</w:t>
      </w:r>
      <w:r>
        <w:t xml:space="preserve"> </w:t>
      </w:r>
      <w:r>
        <w:rPr>
          <w:rStyle w:val="VerbatimChar"/>
        </w:rPr>
        <w:t xml:space="preserve">.dlt/secrets.toml</w:t>
      </w:r>
      <w:r>
        <w:t xml:space="preserve">, exclu du dépôt Git (figure 3.5).</w:t>
      </w:r>
    </w:p>
    <w:p>
      <w:pPr>
        <w:pStyle w:val="CaptionedFigure"/>
      </w:pPr>
      <w:r>
        <w:drawing>
          <wp:inline>
            <wp:extent cx="4890135" cy="1656866"/>
            <wp:effectExtent b="0" l="0" r="0" t="0"/>
            <wp:docPr descr="Fichier .dlt/secrets.toml (valeurs masquées)" title="" id="63" name="Picture"/>
            <a:graphic>
              <a:graphicData uri="http://schemas.openxmlformats.org/drawingml/2006/picture">
                <pic:pic>
                  <pic:nvPicPr>
                    <pic:cNvPr descr="../../captures/Capture5.png" id="64" name="Picture"/>
                    <pic:cNvPicPr>
                      <a:picLocks noChangeArrowheads="1" noChangeAspect="1"/>
                    </pic:cNvPicPr>
                  </pic:nvPicPr>
                  <pic:blipFill>
                    <a:blip r:embed="rId62"/>
                    <a:stretch>
                      <a:fillRect/>
                    </a:stretch>
                  </pic:blipFill>
                  <pic:spPr bwMode="auto">
                    <a:xfrm>
                      <a:off x="0" y="0"/>
                      <a:ext cx="4890135" cy="1656866"/>
                    </a:xfrm>
                    <a:prstGeom prst="rect">
                      <a:avLst/>
                    </a:prstGeom>
                    <a:noFill/>
                    <a:ln w="9525">
                      <a:noFill/>
                      <a:headEnd/>
                      <a:tailEnd/>
                    </a:ln>
                  </pic:spPr>
                </pic:pic>
              </a:graphicData>
            </a:graphic>
          </wp:inline>
        </w:drawing>
      </w:r>
    </w:p>
    <w:p>
      <w:pPr>
        <w:pStyle w:val="ImageCaption"/>
      </w:pPr>
      <w:r>
        <w:rPr>
          <w:bCs/>
          <w:b/>
        </w:rPr>
        <w:t xml:space="preserve">Figure 3.5</w:t>
      </w:r>
      <w:r>
        <w:t xml:space="preserve"> – Fichier</w:t>
      </w:r>
      <w:r>
        <w:t xml:space="preserve"> </w:t>
      </w:r>
      <w:r>
        <w:rPr>
          <w:rStyle w:val="VerbatimChar"/>
        </w:rPr>
        <w:t xml:space="preserve">.dlt/secrets.toml</w:t>
      </w:r>
      <w:r>
        <w:t xml:space="preserve"> </w:t>
      </w:r>
      <w:r>
        <w:t xml:space="preserve">(valeurs masquées)</w:t>
      </w:r>
    </w:p>
    <w:p>
      <w:pPr>
        <w:pStyle w:val="BodyText"/>
      </w:pPr>
      <w:r>
        <w:t xml:space="preserve">La fin du fichier choisit la destination à partir de la variable</w:t>
      </w:r>
      <w:r>
        <w:t xml:space="preserve"> </w:t>
      </w:r>
      <w:r>
        <w:rPr>
          <w:rStyle w:val="VerbatimChar"/>
        </w:rPr>
        <w:t xml:space="preserve">DLT_DESTINATION</w:t>
      </w:r>
      <w:r>
        <w:t xml:space="preserve">.</w:t>
      </w:r>
    </w:p>
    <w:p>
      <w:pPr>
        <w:pStyle w:val="BodyText"/>
      </w:pPr>
      <w:r>
        <w:rPr>
          <w:bCs/>
          <w:b/>
        </w:rPr>
        <w:t xml:space="preserve">Code 3.2</w:t>
      </w:r>
      <w:r>
        <w:t xml:space="preserve"> – Choix de la destination et définition du pipeline (loads.py)</w:t>
      </w:r>
    </w:p>
    <w:bookmarkStart w:id="65" w:name="code:dlt-dest"/>
    <w:p>
      <w:pPr>
        <w:pStyle w:val="SourceCode"/>
      </w:pP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DEST </w:t>
      </w:r>
      <w:r>
        <w:rPr>
          <w:rStyle w:val="OperatorTok"/>
        </w:rPr>
        <w:t xml:space="preserve">==</w:t>
      </w:r>
      <w:r>
        <w:rPr>
          <w:rStyle w:val="NormalTok"/>
        </w:rPr>
        <w:t xml:space="preserve"> </w:t>
      </w:r>
      <w:r>
        <w:rPr>
          <w:rStyle w:val="StringTok"/>
        </w:rPr>
        <w:t xml:space="preserve">"duckdb"</w:t>
      </w:r>
      <w:r>
        <w:rPr>
          <w:rStyle w:val="NormalTok"/>
        </w:rPr>
        <w:t xml:space="preserve">:</w:t>
      </w:r>
      <w:r>
        <w:br/>
      </w:r>
      <w:r>
        <w:rPr>
          <w:rStyle w:val="NormalTok"/>
        </w:rPr>
        <w:t xml:space="preserve"> </w:t>
      </w:r>
      <w:r>
        <w:rPr>
          <w:rStyle w:val="DecValTok"/>
        </w:rPr>
        <w:t xml:space="preserve">2</w:t>
      </w:r>
      <w:r>
        <w:rPr>
          <w:rStyle w:val="NormalTok"/>
        </w:rPr>
        <w:t xml:space="preserve">      </w:t>
      </w:r>
      <w:r>
        <w:rPr>
          <w:rStyle w:val="CommentTok"/>
        </w:rPr>
        <w:t xml:space="preserve"># expandvars/expanduser : un fichier .env (chargé par Dagster) ne remplace pas $HOME ni ~.</w:t>
      </w:r>
      <w:r>
        <w:br/>
      </w:r>
      <w:r>
        <w:rPr>
          <w:rStyle w:val="NormalTok"/>
        </w:rPr>
        <w:t xml:space="preserve"> </w:t>
      </w:r>
      <w:r>
        <w:rPr>
          <w:rStyle w:val="DecValTok"/>
        </w:rPr>
        <w:t xml:space="preserve">3</w:t>
      </w:r>
      <w:r>
        <w:rPr>
          <w:rStyle w:val="NormalTok"/>
        </w:rPr>
        <w:t xml:space="preserve">      duckdb_path </w:t>
      </w:r>
      <w:r>
        <w:rPr>
          <w:rStyle w:val="OperatorTok"/>
        </w:rPr>
        <w:t xml:space="preserve">=</w:t>
      </w:r>
      <w:r>
        <w:rPr>
          <w:rStyle w:val="NormalTok"/>
        </w:rPr>
        <w:t xml:space="preserve"> os.path.expanduser(os.path.expandvars(os.getenv(</w:t>
      </w:r>
      <w:r>
        <w:rPr>
          <w:rStyle w:val="StringTok"/>
        </w:rPr>
        <w:t xml:space="preserve">"DUCKDB_PATH"</w:t>
      </w:r>
      <w:r>
        <w:rPr>
          <w:rStyle w:val="NormalTok"/>
        </w:rPr>
        <w:t xml:space="preserve">, </w:t>
      </w:r>
      <w:r>
        <w:rPr>
          <w:rStyle w:val="StringTok"/>
        </w:rPr>
        <w:t xml:space="preserve">"warehouse.duckdb"</w:t>
      </w:r>
      <w:r>
        <w:rPr>
          <w:rStyle w:val="NormalTok"/>
        </w:rPr>
        <w:t xml:space="preserve">)))</w:t>
      </w:r>
      <w:r>
        <w:br/>
      </w:r>
      <w:r>
        <w:rPr>
          <w:rStyle w:val="NormalTok"/>
        </w:rPr>
        <w:t xml:space="preserve"> </w:t>
      </w:r>
      <w:r>
        <w:rPr>
          <w:rStyle w:val="DecValTok"/>
        </w:rPr>
        <w:t xml:space="preserve">4</w:t>
      </w:r>
      <w:r>
        <w:rPr>
          <w:rStyle w:val="NormalTok"/>
        </w:rPr>
        <w:t xml:space="preserve">      destination </w:t>
      </w:r>
      <w:r>
        <w:rPr>
          <w:rStyle w:val="OperatorTok"/>
        </w:rPr>
        <w:t xml:space="preserve">=</w:t>
      </w:r>
      <w:r>
        <w:rPr>
          <w:rStyle w:val="NormalTok"/>
        </w:rPr>
        <w:t xml:space="preserve"> dlt.destinations.duckdb(duckdb_path)</w:t>
      </w:r>
      <w:r>
        <w:br/>
      </w:r>
      <w:r>
        <w:rPr>
          <w:rStyle w:val="NormalTok"/>
        </w:rPr>
        <w:t xml:space="preserve"> </w:t>
      </w:r>
      <w:r>
        <w:rPr>
          <w:rStyle w:val="DecValTok"/>
        </w:rPr>
        <w:t xml:space="preserve">5</w:t>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DecValTok"/>
        </w:rPr>
        <w:t xml:space="preserve">6</w:t>
      </w:r>
      <w:r>
        <w:rPr>
          <w:rStyle w:val="NormalTok"/>
        </w:rPr>
        <w:t xml:space="preserve">      destination </w:t>
      </w:r>
      <w:r>
        <w:rPr>
          <w:rStyle w:val="OperatorTok"/>
        </w:rPr>
        <w:t xml:space="preserve">=</w:t>
      </w:r>
      <w:r>
        <w:rPr>
          <w:rStyle w:val="NormalTok"/>
        </w:rPr>
        <w:t xml:space="preserve"> </w:t>
      </w:r>
      <w:r>
        <w:rPr>
          <w:rStyle w:val="StringTok"/>
        </w:rPr>
        <w:t xml:space="preserve">"snowflake"</w:t>
      </w:r>
      <w:r>
        <w:br/>
      </w:r>
      <w:r>
        <w:rPr>
          <w:rStyle w:val="NormalTok"/>
        </w:rPr>
        <w:t xml:space="preserve"> </w:t>
      </w:r>
      <w:r>
        <w:rPr>
          <w:rStyle w:val="DecValTok"/>
        </w:rPr>
        <w:t xml:space="preserve">7</w:t>
      </w:r>
      <w:r>
        <w:rPr>
          <w:rStyle w:val="NormalTok"/>
        </w:rPr>
        <w:t xml:space="preserve">  </w:t>
      </w:r>
      <w:r>
        <w:br/>
      </w:r>
      <w:r>
        <w:rPr>
          <w:rStyle w:val="NormalTok"/>
        </w:rPr>
        <w:t xml:space="preserve"> </w:t>
      </w:r>
      <w:r>
        <w:rPr>
          <w:rStyle w:val="DecValTok"/>
        </w:rPr>
        <w:t xml:space="preserve">8</w:t>
      </w:r>
      <w:r>
        <w:rPr>
          <w:rStyle w:val="NormalTok"/>
        </w:rPr>
        <w:t xml:space="preserve">  mssql_pipeline </w:t>
      </w:r>
      <w:r>
        <w:rPr>
          <w:rStyle w:val="OperatorTok"/>
        </w:rPr>
        <w:t xml:space="preserve">=</w:t>
      </w:r>
      <w:r>
        <w:rPr>
          <w:rStyle w:val="NormalTok"/>
        </w:rPr>
        <w:t xml:space="preserve"> dlt.pipeline(</w:t>
      </w:r>
      <w:r>
        <w:br/>
      </w:r>
      <w:r>
        <w:rPr>
          <w:rStyle w:val="NormalTok"/>
        </w:rPr>
        <w:t xml:space="preserve"> </w:t>
      </w:r>
      <w:r>
        <w:rPr>
          <w:rStyle w:val="DecValTok"/>
        </w:rPr>
        <w:t xml:space="preserve">9</w:t>
      </w:r>
      <w:r>
        <w:rPr>
          <w:rStyle w:val="NormalTok"/>
        </w:rPr>
        <w:t xml:space="preserve">      pipeline_name</w:t>
      </w:r>
      <w:r>
        <w:rPr>
          <w:rStyle w:val="OperatorTok"/>
        </w:rPr>
        <w:t xml:space="preserve">=</w:t>
      </w:r>
      <w:r>
        <w:rPr>
          <w:rStyle w:val="StringTok"/>
        </w:rPr>
        <w:t xml:space="preserve">"mssql_bronze"</w:t>
      </w:r>
      <w:r>
        <w:rPr>
          <w:rStyle w:val="NormalTok"/>
        </w:rPr>
        <w:t xml:space="preserve">,</w:t>
      </w:r>
      <w:r>
        <w:br/>
      </w:r>
      <w:r>
        <w:rPr>
          <w:rStyle w:val="DecValTok"/>
        </w:rPr>
        <w:t xml:space="preserve">10</w:t>
      </w:r>
      <w:r>
        <w:rPr>
          <w:rStyle w:val="NormalTok"/>
        </w:rPr>
        <w:t xml:space="preserve">      destination</w:t>
      </w:r>
      <w:r>
        <w:rPr>
          <w:rStyle w:val="OperatorTok"/>
        </w:rPr>
        <w:t xml:space="preserve">=</w:t>
      </w:r>
      <w:r>
        <w:rPr>
          <w:rStyle w:val="NormalTok"/>
        </w:rPr>
        <w:t xml:space="preserve">destination,</w:t>
      </w:r>
      <w:r>
        <w:br/>
      </w:r>
      <w:r>
        <w:rPr>
          <w:rStyle w:val="DecValTok"/>
        </w:rPr>
        <w:t xml:space="preserve">11</w:t>
      </w:r>
      <w:r>
        <w:rPr>
          <w:rStyle w:val="NormalTok"/>
        </w:rPr>
        <w:t xml:space="preserve">      dataset_name</w:t>
      </w:r>
      <w:r>
        <w:rPr>
          <w:rStyle w:val="OperatorTok"/>
        </w:rPr>
        <w:t xml:space="preserve">=</w:t>
      </w:r>
      <w:r>
        <w:rPr>
          <w:rStyle w:val="StringTok"/>
        </w:rPr>
        <w:t xml:space="preserve">"bronze"</w:t>
      </w:r>
      <w:r>
        <w:rPr>
          <w:rStyle w:val="NormalTok"/>
        </w:rPr>
        <w:t xml:space="preserve">,</w:t>
      </w:r>
      <w:r>
        <w:br/>
      </w:r>
      <w:r>
        <w:rPr>
          <w:rStyle w:val="DecValTok"/>
        </w:rPr>
        <w:t xml:space="preserve">12</w:t>
      </w:r>
      <w:r>
        <w:rPr>
          <w:rStyle w:val="NormalTok"/>
        </w:rPr>
        <w:t xml:space="preserve">  )</w:t>
      </w:r>
    </w:p>
    <w:bookmarkEnd w:id="65"/>
    <w:p>
      <w:pPr>
        <w:pStyle w:val="FirstParagraph"/>
      </w:pPr>
      <w:r>
        <w:t xml:space="preserve">Le paramètre</w:t>
      </w:r>
      <w:r>
        <w:t xml:space="preserve"> </w:t>
      </w:r>
      <w:r>
        <w:rPr>
          <w:rStyle w:val="VerbatimChar"/>
        </w:rPr>
        <w:t xml:space="preserve">dataset_name</w:t>
      </w:r>
      <w:r>
        <w:t xml:space="preserve"> </w:t>
      </w:r>
      <w:r>
        <w:t xml:space="preserve">(ligne 11) donne le nom du schéma cible :</w:t>
      </w:r>
      <w:r>
        <w:t xml:space="preserve"> </w:t>
      </w:r>
      <w:r>
        <w:rPr>
          <w:rStyle w:val="VerbatimChar"/>
        </w:rPr>
        <w:t xml:space="preserve">bronze</w:t>
      </w:r>
      <w:r>
        <w:t xml:space="preserve"> </w:t>
      </w:r>
      <w:r>
        <w:t xml:space="preserve">dans DuckDB,</w:t>
      </w:r>
      <w:r>
        <w:t xml:space="preserve"> </w:t>
      </w:r>
      <w:r>
        <w:rPr>
          <w:rStyle w:val="VerbatimChar"/>
        </w:rPr>
        <w:t xml:space="preserve">BRONZE</w:t>
      </w:r>
      <w:r>
        <w:t xml:space="preserve"> </w:t>
      </w:r>
      <w:r>
        <w:t xml:space="preserve">dans Snowflake. La ligne 3 corrige un problème rencontré pendant le développement : Dagster lit le fichier</w:t>
      </w:r>
      <w:r>
        <w:t xml:space="preserve"> </w:t>
      </w:r>
      <w:r>
        <w:rPr>
          <w:rStyle w:val="VerbatimChar"/>
        </w:rPr>
        <w:t xml:space="preserve">.env</w:t>
      </w:r>
      <w:r>
        <w:t xml:space="preserve"> </w:t>
      </w:r>
      <w:r>
        <w:t xml:space="preserve">sans interpréter les variables du shell, si bien que le chemin</w:t>
      </w:r>
      <w:r>
        <w:t xml:space="preserve"> </w:t>
      </w:r>
      <w:r>
        <w:rPr>
          <w:rStyle w:val="VerbatimChar"/>
        </w:rPr>
        <w:t xml:space="preserve">$HOME/…</w:t>
      </w:r>
      <w:r>
        <w:t xml:space="preserve"> </w:t>
      </w:r>
      <w:r>
        <w:t xml:space="preserve">arrivait tel quel dans le code et DuckDB créait un dossier nommé littéralement</w:t>
      </w:r>
      <w:r>
        <w:t xml:space="preserve"> </w:t>
      </w:r>
      <w:r>
        <w:rPr>
          <w:rStyle w:val="VerbatimChar"/>
        </w:rPr>
        <w:t xml:space="preserve">$HOME</w:t>
      </w:r>
      <w:r>
        <w:t xml:space="preserve">.</w:t>
      </w:r>
    </w:p>
    <w:p>
      <w:pPr>
        <w:pStyle w:val="BodyText"/>
      </w:pPr>
      <w:r>
        <w:t xml:space="preserve">DLT normalise les identifiants :</w:t>
      </w:r>
      <w:r>
        <w:t xml:space="preserve"> </w:t>
      </w:r>
      <w:r>
        <w:rPr>
          <w:rStyle w:val="VerbatimChar"/>
        </w:rPr>
        <w:t xml:space="preserve">OrderLines</w:t>
      </w:r>
      <w:r>
        <w:t xml:space="preserve"> </w:t>
      </w:r>
      <w:r>
        <w:t xml:space="preserve">devient</w:t>
      </w:r>
      <w:r>
        <w:t xml:space="preserve"> </w:t>
      </w:r>
      <w:r>
        <w:rPr>
          <w:rStyle w:val="VerbatimChar"/>
        </w:rPr>
        <w:t xml:space="preserve">order_lines</w:t>
      </w:r>
      <w:r>
        <w:t xml:space="preserve"> </w:t>
      </w:r>
      <w:r>
        <w:t xml:space="preserve">et</w:t>
      </w:r>
      <w:r>
        <w:t xml:space="preserve"> </w:t>
      </w:r>
      <w:r>
        <w:rPr>
          <w:rStyle w:val="VerbatimChar"/>
        </w:rPr>
        <w:t xml:space="preserve">CustomerID</w:t>
      </w:r>
      <w:r>
        <w:t xml:space="preserve"> </w:t>
      </w:r>
      <w:r>
        <w:t xml:space="preserve">devient</w:t>
      </w:r>
      <w:r>
        <w:t xml:space="preserve"> </w:t>
      </w:r>
      <w:r>
        <w:rPr>
          <w:rStyle w:val="VerbatimChar"/>
        </w:rPr>
        <w:t xml:space="preserve">customer_id</w:t>
      </w:r>
      <w:r>
        <w:t xml:space="preserve">. Nos premiers modèles dbt, écrits avec les noms de SQL Server, échouaient pour cette raison. Le tableau 3.1 donne les volumes chargés dans Snowflake, relevés après exécution.</w:t>
      </w:r>
    </w:p>
    <w:bookmarkStart w:id="66" w:name="tab:bronze"/>
    <w:p>
      <w:pPr>
        <w:pStyle w:val="TableCaption"/>
      </w:pPr>
      <w:r>
        <w:rPr>
          <w:bCs/>
          <w:b/>
        </w:rPr>
        <w:t xml:space="preserve">Tableau 3.1</w:t>
      </w:r>
      <w:r>
        <w:t xml:space="preserve"> – Volumes chargés dans le schéma</w:t>
      </w:r>
      <w:r>
        <w:t xml:space="preserve"> </w:t>
      </w:r>
      <w:r>
        <w:rPr>
          <w:rStyle w:val="VerbatimChar"/>
        </w:rPr>
        <w:t xml:space="preserve">BRONZE</w:t>
      </w:r>
      <w:r>
        <w:t xml:space="preserve"> </w:t>
      </w:r>
      <w:r>
        <w:t xml:space="preserve">de Snowflake</w:t>
      </w:r>
    </w:p>
    <w:tbl>
      <w:tblPr>
        <w:tblStyle w:val="Table"/>
        <w:tblW w:type="auto" w:w="0"/>
        <w:tblLook w:firstRow="1" w:lastRow="0" w:firstColumn="0" w:lastColumn="0" w:noHBand="0" w:noVBand="0" w:val="0020"/>
        <w:jc w:val="start"/>
        <w:tblCaption w:val="Tableau 3.1 – Volumes chargés dans le schéma BRONZE de Snowflake"/>
      </w:tblPr>
      <w:tblGrid>
        <w:gridCol w:w="2640"/>
        <w:gridCol w:w="2640"/>
        <w:gridCol w:w="2640"/>
      </w:tblGrid>
      <w:tr>
        <w:trPr>
          <w:tblHeader w:val="true"/>
        </w:trPr>
        <w:tc>
          <w:tcPr/>
          <w:p>
            <w:pPr>
              <w:pStyle w:val="Compact"/>
              <w:jc w:val="left"/>
            </w:pPr>
            <w:r>
              <w:t xml:space="preserve">Table</w:t>
            </w:r>
          </w:p>
        </w:tc>
        <w:tc>
          <w:tcPr/>
          <w:p>
            <w:pPr>
              <w:pStyle w:val="Compact"/>
              <w:jc w:val="right"/>
            </w:pPr>
            <w:r>
              <w:t xml:space="preserve">Lignes</w:t>
            </w:r>
          </w:p>
        </w:tc>
        <w:tc>
          <w:tcPr/>
          <w:p>
            <w:pPr>
              <w:pStyle w:val="Compact"/>
              <w:jc w:val="left"/>
            </w:pPr>
            <w:r>
              <w:t xml:space="preserve">Mode de chargement</w:t>
            </w:r>
          </w:p>
        </w:tc>
      </w:tr>
      <w:tr>
        <w:tc>
          <w:tcPr/>
          <w:p>
            <w:pPr>
              <w:pStyle w:val="Compact"/>
              <w:jc w:val="left"/>
            </w:pPr>
            <w:r>
              <w:rPr>
                <w:rStyle w:val="VerbatimChar"/>
              </w:rPr>
              <w:t xml:space="preserve">order_lines</w:t>
            </w:r>
          </w:p>
        </w:tc>
        <w:tc>
          <w:tcPr/>
          <w:p>
            <w:pPr>
              <w:pStyle w:val="Compact"/>
              <w:jc w:val="right"/>
            </w:pPr>
            <w:r>
              <w:t xml:space="preserve">231 412</w:t>
            </w:r>
          </w:p>
        </w:tc>
        <w:tc>
          <w:tcPr/>
          <w:p>
            <w:pPr>
              <w:pStyle w:val="Compact"/>
              <w:jc w:val="left"/>
            </w:pPr>
            <w:r>
              <w:t xml:space="preserve">incrémental (</w:t>
            </w:r>
            <w:r>
              <w:rPr>
                <w:rStyle w:val="VerbatimChar"/>
              </w:rPr>
              <w:t xml:space="preserve">merge</w:t>
            </w:r>
            <w:r>
              <w:t xml:space="preserve">)</w:t>
            </w:r>
          </w:p>
        </w:tc>
      </w:tr>
      <w:tr>
        <w:tc>
          <w:tcPr/>
          <w:p>
            <w:pPr>
              <w:pStyle w:val="Compact"/>
              <w:jc w:val="left"/>
            </w:pPr>
            <w:r>
              <w:rPr>
                <w:rStyle w:val="VerbatimChar"/>
              </w:rPr>
              <w:t xml:space="preserve">invoice_lines</w:t>
            </w:r>
          </w:p>
        </w:tc>
        <w:tc>
          <w:tcPr/>
          <w:p>
            <w:pPr>
              <w:pStyle w:val="Compact"/>
              <w:jc w:val="right"/>
            </w:pPr>
            <w:r>
              <w:t xml:space="preserve">228 265</w:t>
            </w:r>
          </w:p>
        </w:tc>
        <w:tc>
          <w:tcPr/>
          <w:p>
            <w:pPr>
              <w:pStyle w:val="Compact"/>
              <w:jc w:val="left"/>
            </w:pPr>
            <w:r>
              <w:t xml:space="preserve">incrémental (</w:t>
            </w:r>
            <w:r>
              <w:rPr>
                <w:rStyle w:val="VerbatimChar"/>
              </w:rPr>
              <w:t xml:space="preserve">merge</w:t>
            </w:r>
            <w:r>
              <w:t xml:space="preserve">)</w:t>
            </w:r>
          </w:p>
        </w:tc>
      </w:tr>
      <w:tr>
        <w:tc>
          <w:tcPr/>
          <w:p>
            <w:pPr>
              <w:pStyle w:val="Compact"/>
              <w:jc w:val="left"/>
            </w:pPr>
            <w:r>
              <w:rPr>
                <w:rStyle w:val="VerbatimChar"/>
              </w:rPr>
              <w:t xml:space="preserve">orders</w:t>
            </w:r>
          </w:p>
        </w:tc>
        <w:tc>
          <w:tcPr/>
          <w:p>
            <w:pPr>
              <w:pStyle w:val="Compact"/>
              <w:jc w:val="right"/>
            </w:pPr>
            <w:r>
              <w:t xml:space="preserve">73 595</w:t>
            </w:r>
          </w:p>
        </w:tc>
        <w:tc>
          <w:tcPr/>
          <w:p>
            <w:pPr>
              <w:pStyle w:val="Compact"/>
              <w:jc w:val="left"/>
            </w:pPr>
            <w:r>
              <w:t xml:space="preserve">incrémental (</w:t>
            </w:r>
            <w:r>
              <w:rPr>
                <w:rStyle w:val="VerbatimChar"/>
              </w:rPr>
              <w:t xml:space="preserve">merge</w:t>
            </w:r>
            <w:r>
              <w:t xml:space="preserve">)</w:t>
            </w:r>
          </w:p>
        </w:tc>
      </w:tr>
      <w:tr>
        <w:tc>
          <w:tcPr/>
          <w:p>
            <w:pPr>
              <w:pStyle w:val="Compact"/>
              <w:jc w:val="left"/>
            </w:pPr>
            <w:r>
              <w:rPr>
                <w:rStyle w:val="VerbatimChar"/>
              </w:rPr>
              <w:t xml:space="preserve">invoices</w:t>
            </w:r>
          </w:p>
        </w:tc>
        <w:tc>
          <w:tcPr/>
          <w:p>
            <w:pPr>
              <w:pStyle w:val="Compact"/>
              <w:jc w:val="right"/>
            </w:pPr>
            <w:r>
              <w:t xml:space="preserve">70 510</w:t>
            </w:r>
          </w:p>
        </w:tc>
        <w:tc>
          <w:tcPr/>
          <w:p>
            <w:pPr>
              <w:pStyle w:val="Compact"/>
              <w:jc w:val="left"/>
            </w:pPr>
            <w:r>
              <w:t xml:space="preserve">incrémental (</w:t>
            </w:r>
            <w:r>
              <w:rPr>
                <w:rStyle w:val="VerbatimChar"/>
              </w:rPr>
              <w:t xml:space="preserve">merge</w:t>
            </w:r>
            <w:r>
              <w:t xml:space="preserve">)</w:t>
            </w:r>
          </w:p>
        </w:tc>
      </w:tr>
      <w:tr>
        <w:tc>
          <w:tcPr/>
          <w:p>
            <w:pPr>
              <w:pStyle w:val="Compact"/>
              <w:jc w:val="left"/>
            </w:pPr>
            <w:r>
              <w:rPr>
                <w:rStyle w:val="VerbatimChar"/>
              </w:rPr>
              <w:t xml:space="preserve">cities</w:t>
            </w:r>
          </w:p>
        </w:tc>
        <w:tc>
          <w:tcPr/>
          <w:p>
            <w:pPr>
              <w:pStyle w:val="Compact"/>
              <w:jc w:val="right"/>
            </w:pPr>
            <w:r>
              <w:t xml:space="preserve">37 940</w:t>
            </w:r>
          </w:p>
        </w:tc>
        <w:tc>
          <w:tcPr/>
          <w:p>
            <w:pPr>
              <w:pStyle w:val="Compact"/>
              <w:jc w:val="left"/>
            </w:pPr>
            <w:r>
              <w:t xml:space="preserve">complet (</w:t>
            </w:r>
            <w:r>
              <w:rPr>
                <w:rStyle w:val="VerbatimChar"/>
              </w:rPr>
              <w:t xml:space="preserve">replace</w:t>
            </w:r>
            <w:r>
              <w:t xml:space="preserve">)</w:t>
            </w:r>
          </w:p>
        </w:tc>
      </w:tr>
      <w:tr>
        <w:tc>
          <w:tcPr/>
          <w:p>
            <w:pPr>
              <w:pStyle w:val="Compact"/>
              <w:jc w:val="left"/>
            </w:pPr>
            <w:r>
              <w:rPr>
                <w:rStyle w:val="VerbatimChar"/>
              </w:rPr>
              <w:t xml:space="preserve">people</w:t>
            </w:r>
          </w:p>
        </w:tc>
        <w:tc>
          <w:tcPr/>
          <w:p>
            <w:pPr>
              <w:pStyle w:val="Compact"/>
              <w:jc w:val="right"/>
            </w:pPr>
            <w:r>
              <w:t xml:space="preserve">1 111</w:t>
            </w:r>
          </w:p>
        </w:tc>
        <w:tc>
          <w:tcPr/>
          <w:p>
            <w:pPr>
              <w:pStyle w:val="Compact"/>
              <w:jc w:val="left"/>
            </w:pPr>
            <w:r>
              <w:t xml:space="preserve">complet (</w:t>
            </w:r>
            <w:r>
              <w:rPr>
                <w:rStyle w:val="VerbatimChar"/>
              </w:rPr>
              <w:t xml:space="preserve">replace</w:t>
            </w:r>
            <w:r>
              <w:t xml:space="preserve">)</w:t>
            </w:r>
          </w:p>
        </w:tc>
      </w:tr>
      <w:tr>
        <w:tc>
          <w:tcPr/>
          <w:p>
            <w:pPr>
              <w:pStyle w:val="Compact"/>
              <w:jc w:val="left"/>
            </w:pPr>
            <w:r>
              <w:rPr>
                <w:rStyle w:val="VerbatimChar"/>
              </w:rPr>
              <w:t xml:space="preserve">customers</w:t>
            </w:r>
          </w:p>
        </w:tc>
        <w:tc>
          <w:tcPr/>
          <w:p>
            <w:pPr>
              <w:pStyle w:val="Compact"/>
              <w:jc w:val="right"/>
            </w:pPr>
            <w:r>
              <w:t xml:space="preserve">663</w:t>
            </w:r>
          </w:p>
        </w:tc>
        <w:tc>
          <w:tcPr/>
          <w:p>
            <w:pPr>
              <w:pStyle w:val="Compact"/>
              <w:jc w:val="left"/>
            </w:pPr>
            <w:r>
              <w:t xml:space="preserve">complet (</w:t>
            </w:r>
            <w:r>
              <w:rPr>
                <w:rStyle w:val="VerbatimChar"/>
              </w:rPr>
              <w:t xml:space="preserve">replace</w:t>
            </w:r>
            <w:r>
              <w:t xml:space="preserve">)</w:t>
            </w:r>
          </w:p>
        </w:tc>
      </w:tr>
      <w:tr>
        <w:tc>
          <w:tcPr/>
          <w:p>
            <w:pPr>
              <w:pStyle w:val="Compact"/>
              <w:jc w:val="left"/>
            </w:pPr>
            <w:r>
              <w:rPr>
                <w:rStyle w:val="VerbatimChar"/>
              </w:rPr>
              <w:t xml:space="preserve">stock_items</w:t>
            </w:r>
          </w:p>
        </w:tc>
        <w:tc>
          <w:tcPr/>
          <w:p>
            <w:pPr>
              <w:pStyle w:val="Compact"/>
              <w:jc w:val="right"/>
            </w:pPr>
            <w:r>
              <w:t xml:space="preserve">227</w:t>
            </w:r>
          </w:p>
        </w:tc>
        <w:tc>
          <w:tcPr/>
          <w:p>
            <w:pPr>
              <w:pStyle w:val="Compact"/>
              <w:jc w:val="left"/>
            </w:pPr>
            <w:r>
              <w:t xml:space="preserve">complet (</w:t>
            </w:r>
            <w:r>
              <w:rPr>
                <w:rStyle w:val="VerbatimChar"/>
              </w:rPr>
              <w:t xml:space="preserve">replace</w:t>
            </w:r>
            <w:r>
              <w:t xml:space="preserve">)</w:t>
            </w:r>
          </w:p>
        </w:tc>
      </w:tr>
      <w:tr>
        <w:tc>
          <w:tcPr/>
          <w:p>
            <w:pPr>
              <w:pStyle w:val="Compact"/>
              <w:jc w:val="left"/>
            </w:pPr>
            <w:r>
              <w:rPr>
                <w:rStyle w:val="VerbatimChar"/>
              </w:rPr>
              <w:t xml:space="preserve">countries</w:t>
            </w:r>
          </w:p>
        </w:tc>
        <w:tc>
          <w:tcPr/>
          <w:p>
            <w:pPr>
              <w:pStyle w:val="Compact"/>
              <w:jc w:val="right"/>
            </w:pPr>
            <w:r>
              <w:t xml:space="preserve">190</w:t>
            </w:r>
          </w:p>
        </w:tc>
        <w:tc>
          <w:tcPr/>
          <w:p>
            <w:pPr>
              <w:pStyle w:val="Compact"/>
              <w:jc w:val="left"/>
            </w:pPr>
            <w:r>
              <w:t xml:space="preserve">complet (</w:t>
            </w:r>
            <w:r>
              <w:rPr>
                <w:rStyle w:val="VerbatimChar"/>
              </w:rPr>
              <w:t xml:space="preserve">replace</w:t>
            </w:r>
            <w:r>
              <w:t xml:space="preserve">)</w:t>
            </w:r>
          </w:p>
        </w:tc>
      </w:tr>
      <w:tr>
        <w:tc>
          <w:tcPr/>
          <w:p>
            <w:pPr>
              <w:pStyle w:val="Compact"/>
              <w:jc w:val="left"/>
            </w:pPr>
            <w:r>
              <w:rPr>
                <w:rStyle w:val="VerbatimChar"/>
              </w:rPr>
              <w:t xml:space="preserve">state_provinces</w:t>
            </w:r>
          </w:p>
        </w:tc>
        <w:tc>
          <w:tcPr/>
          <w:p>
            <w:pPr>
              <w:pStyle w:val="Compact"/>
              <w:jc w:val="right"/>
            </w:pPr>
            <w:r>
              <w:t xml:space="preserve">53</w:t>
            </w:r>
          </w:p>
        </w:tc>
        <w:tc>
          <w:tcPr/>
          <w:p>
            <w:pPr>
              <w:pStyle w:val="Compact"/>
              <w:jc w:val="left"/>
            </w:pPr>
            <w:r>
              <w:t xml:space="preserve">complet (</w:t>
            </w:r>
            <w:r>
              <w:rPr>
                <w:rStyle w:val="VerbatimChar"/>
              </w:rPr>
              <w:t xml:space="preserve">replace</w:t>
            </w:r>
            <w:r>
              <w:t xml:space="preserve">)</w:t>
            </w:r>
          </w:p>
        </w:tc>
      </w:tr>
    </w:tbl>
    <w:bookmarkEnd w:id="66"/>
    <w:bookmarkEnd w:id="67"/>
    <w:bookmarkStart w:id="81" w:name="transformations-silver-et-gold-avec-dbt"/>
    <w:p>
      <w:pPr>
        <w:pStyle w:val="Heading2"/>
      </w:pPr>
      <w:r>
        <w:rPr>
          <w:rStyle w:val="SectionNumber"/>
        </w:rPr>
        <w:t xml:space="preserve">3.3</w:t>
      </w:r>
      <w:r>
        <w:tab/>
      </w:r>
      <w:r>
        <w:t xml:space="preserve">Transformations Silver et Gold avec dbt</w:t>
      </w:r>
    </w:p>
    <w:bookmarkStart w:id="69" w:name="déclaration-des-sources"/>
    <w:p>
      <w:pPr>
        <w:pStyle w:val="Heading3"/>
      </w:pPr>
      <w:r>
        <w:rPr>
          <w:rStyle w:val="SectionNumber"/>
        </w:rPr>
        <w:t xml:space="preserve">3.3.1</w:t>
      </w:r>
      <w:r>
        <w:tab/>
      </w:r>
      <w:r>
        <w:t xml:space="preserve">Déclaration des sources</w:t>
      </w:r>
    </w:p>
    <w:p>
      <w:pPr>
        <w:pStyle w:val="FirstParagraph"/>
      </w:pPr>
      <w:r>
        <w:t xml:space="preserve">Le projet dbt commence par déclarer les tables Bronze comme des</w:t>
      </w:r>
      <w:r>
        <w:t xml:space="preserve"> </w:t>
      </w:r>
      <w:r>
        <w:rPr>
          <w:iCs/>
          <w:i/>
        </w:rPr>
        <w:t xml:space="preserve">sources</w:t>
      </w:r>
      <w:r>
        <w:t xml:space="preserve">. Chaque source porte un nom logique, repris de SQL Server, et le nom physique créé par DLT (</w:t>
      </w:r>
      <w:r>
        <w:rPr>
          <w:rStyle w:val="VerbatimChar"/>
        </w:rPr>
        <w:t xml:space="preserve">identifier</w:t>
      </w:r>
      <w:r>
        <w:t xml:space="preserve">).</w:t>
      </w:r>
    </w:p>
    <w:p>
      <w:pPr>
        <w:pStyle w:val="BodyText"/>
      </w:pPr>
      <w:r>
        <w:rPr>
          <w:bCs/>
          <w:b/>
        </w:rPr>
        <w:t xml:space="preserve">Code 3.3</w:t>
      </w:r>
      <w:r>
        <w:t xml:space="preserve"> – Sources Bronze déclarées dans dbt (models/_sources.yml)</w:t>
      </w:r>
    </w:p>
    <w:bookmarkStart w:id="68" w:name="code:sources"/>
    <w:p>
      <w:pPr>
        <w:pStyle w:val="SourceCode"/>
      </w:pPr>
      <w:r>
        <w:rPr>
          <w:rStyle w:val="AttributeTok"/>
        </w:rPr>
        <w:t xml:space="preserve"> </w:t>
      </w:r>
      <w:r>
        <w:rPr>
          <w:rStyle w:val="FunctionTok"/>
        </w:rPr>
        <w:t xml:space="preserve">1  version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DecValTok"/>
        </w:rPr>
        <w:t xml:space="preserve">2</w:t>
      </w:r>
      <w:r>
        <w:rPr>
          <w:rStyle w:val="AttributeTok"/>
        </w:rPr>
        <w:t xml:space="preserve">  </w:t>
      </w:r>
      <w:r>
        <w:br/>
      </w:r>
      <w:r>
        <w:rPr>
          <w:rStyle w:val="AttributeTok"/>
        </w:rPr>
        <w:t xml:space="preserve"> </w:t>
      </w:r>
      <w:r>
        <w:rPr>
          <w:rStyle w:val="FunctionTok"/>
        </w:rPr>
        <w:t xml:space="preserve">3  sources</w:t>
      </w:r>
      <w:r>
        <w:rPr>
          <w:rStyle w:val="KeywordTok"/>
        </w:rPr>
        <w:t xml:space="preserve">:</w:t>
      </w:r>
      <w:r>
        <w:br/>
      </w:r>
      <w:r>
        <w:rPr>
          <w:rStyle w:val="AttributeTok"/>
        </w:rPr>
        <w:t xml:space="preserve"> </w:t>
      </w:r>
      <w:r>
        <w:rPr>
          <w:rStyle w:val="FunctionTok"/>
        </w:rPr>
        <w:t xml:space="preserve">4    - name</w:t>
      </w:r>
      <w:r>
        <w:rPr>
          <w:rStyle w:val="KeywordTok"/>
        </w:rPr>
        <w:t xml:space="preserve">:</w:t>
      </w:r>
      <w:r>
        <w:rPr>
          <w:rStyle w:val="AttributeTok"/>
        </w:rPr>
        <w:t xml:space="preserve"> bronze</w:t>
      </w:r>
      <w:r>
        <w:br/>
      </w:r>
      <w:r>
        <w:rPr>
          <w:rStyle w:val="AttributeTok"/>
        </w:rPr>
        <w:t xml:space="preserve"> </w:t>
      </w:r>
      <w:r>
        <w:rPr>
          <w:rStyle w:val="FunctionTok"/>
        </w:rPr>
        <w:t xml:space="preserve">5      schema</w:t>
      </w:r>
      <w:r>
        <w:rPr>
          <w:rStyle w:val="KeywordTok"/>
        </w:rPr>
        <w:t xml:space="preserve">:</w:t>
      </w:r>
      <w:r>
        <w:rPr>
          <w:rStyle w:val="AttributeTok"/>
        </w:rPr>
        <w:t xml:space="preserve"> bronze</w:t>
      </w:r>
      <w:r>
        <w:br/>
      </w:r>
      <w:r>
        <w:rPr>
          <w:rStyle w:val="AttributeTok"/>
        </w:rPr>
        <w:t xml:space="preserve"> </w:t>
      </w:r>
      <w:r>
        <w:rPr>
          <w:rStyle w:val="FunctionTok"/>
        </w:rPr>
        <w:t xml:space="preserve">6      tables</w:t>
      </w:r>
      <w:r>
        <w:rPr>
          <w:rStyle w:val="KeywordTok"/>
        </w:rPr>
        <w:t xml:space="preserve">:</w:t>
      </w:r>
      <w:r>
        <w:br/>
      </w:r>
      <w:r>
        <w:rPr>
          <w:rStyle w:val="AttributeTok"/>
        </w:rPr>
        <w:t xml:space="preserve"> </w:t>
      </w:r>
      <w:r>
        <w:rPr>
          <w:rStyle w:val="FunctionTok"/>
        </w:rPr>
        <w:t xml:space="preserve">7        - name</w:t>
      </w:r>
      <w:r>
        <w:rPr>
          <w:rStyle w:val="KeywordTok"/>
        </w:rPr>
        <w:t xml:space="preserve">:</w:t>
      </w:r>
      <w:r>
        <w:rPr>
          <w:rStyle w:val="AttributeTok"/>
        </w:rPr>
        <w:t xml:space="preserve"> Customers</w:t>
      </w:r>
      <w:r>
        <w:br/>
      </w:r>
      <w:r>
        <w:rPr>
          <w:rStyle w:val="AttributeTok"/>
        </w:rPr>
        <w:t xml:space="preserve"> </w:t>
      </w:r>
      <w:r>
        <w:rPr>
          <w:rStyle w:val="FunctionTok"/>
        </w:rPr>
        <w:t xml:space="preserve">8          identifier</w:t>
      </w:r>
      <w:r>
        <w:rPr>
          <w:rStyle w:val="KeywordTok"/>
        </w:rPr>
        <w:t xml:space="preserve">:</w:t>
      </w:r>
      <w:r>
        <w:rPr>
          <w:rStyle w:val="AttributeTok"/>
        </w:rPr>
        <w:t xml:space="preserve"> customers</w:t>
      </w:r>
      <w:r>
        <w:br/>
      </w:r>
      <w:r>
        <w:rPr>
          <w:rStyle w:val="AttributeTok"/>
        </w:rPr>
        <w:t xml:space="preserve"> </w:t>
      </w:r>
      <w:r>
        <w:rPr>
          <w:rStyle w:val="FunctionTok"/>
        </w:rPr>
        <w:t xml:space="preserve">9        - name</w:t>
      </w:r>
      <w:r>
        <w:rPr>
          <w:rStyle w:val="KeywordTok"/>
        </w:rPr>
        <w:t xml:space="preserve">:</w:t>
      </w:r>
      <w:r>
        <w:rPr>
          <w:rStyle w:val="AttributeTok"/>
        </w:rPr>
        <w:t xml:space="preserve"> Orders</w:t>
      </w:r>
      <w:r>
        <w:br/>
      </w:r>
      <w:r>
        <w:rPr>
          <w:rStyle w:val="FunctionTok"/>
        </w:rPr>
        <w:t xml:space="preserve">10          identifier</w:t>
      </w:r>
      <w:r>
        <w:rPr>
          <w:rStyle w:val="KeywordTok"/>
        </w:rPr>
        <w:t xml:space="preserve">:</w:t>
      </w:r>
      <w:r>
        <w:rPr>
          <w:rStyle w:val="AttributeTok"/>
        </w:rPr>
        <w:t xml:space="preserve"> orders</w:t>
      </w:r>
      <w:r>
        <w:br/>
      </w:r>
      <w:r>
        <w:rPr>
          <w:rStyle w:val="FunctionTok"/>
        </w:rPr>
        <w:t xml:space="preserve">11        - name</w:t>
      </w:r>
      <w:r>
        <w:rPr>
          <w:rStyle w:val="KeywordTok"/>
        </w:rPr>
        <w:t xml:space="preserve">:</w:t>
      </w:r>
      <w:r>
        <w:rPr>
          <w:rStyle w:val="AttributeTok"/>
        </w:rPr>
        <w:t xml:space="preserve"> OrderLines</w:t>
      </w:r>
      <w:r>
        <w:br/>
      </w:r>
      <w:r>
        <w:rPr>
          <w:rStyle w:val="FunctionTok"/>
        </w:rPr>
        <w:t xml:space="preserve">12          identifier</w:t>
      </w:r>
      <w:r>
        <w:rPr>
          <w:rStyle w:val="KeywordTok"/>
        </w:rPr>
        <w:t xml:space="preserve">:</w:t>
      </w:r>
      <w:r>
        <w:rPr>
          <w:rStyle w:val="AttributeTok"/>
        </w:rPr>
        <w:t xml:space="preserve"> order_lines</w:t>
      </w:r>
    </w:p>
    <w:bookmarkEnd w:id="68"/>
    <w:p>
      <w:pPr>
        <w:pStyle w:val="FirstParagraph"/>
      </w:pPr>
      <w:r>
        <w:t xml:space="preserve">Ce double nommage a une seconde utilité. Dagster relie un modèle dbt à l’actif DLT qui l’alimente en comparant le nom de la source à celui de la ressource DLT, qui reprend le nom de la table SQL Server. Avec</w:t>
      </w:r>
      <w:r>
        <w:t xml:space="preserve"> </w:t>
      </w:r>
      <w:r>
        <w:rPr>
          <w:rStyle w:val="VerbatimChar"/>
        </w:rPr>
        <w:t xml:space="preserve">name: OrderLines</w:t>
      </w:r>
      <w:r>
        <w:t xml:space="preserve"> </w:t>
      </w:r>
      <w:r>
        <w:t xml:space="preserve">et</w:t>
      </w:r>
      <w:r>
        <w:t xml:space="preserve"> </w:t>
      </w:r>
      <w:r>
        <w:rPr>
          <w:rStyle w:val="VerbatimChar"/>
        </w:rPr>
        <w:t xml:space="preserve">identifier: order_lines</w:t>
      </w:r>
      <w:r>
        <w:t xml:space="preserve"> </w:t>
      </w:r>
      <w:r>
        <w:t xml:space="preserve">(lignes 11 et 12), le lien est établi automatiquement et le lignage passe de DLT à dbt sans configuration supplémentaire.</w:t>
      </w:r>
    </w:p>
    <w:bookmarkEnd w:id="69"/>
    <w:bookmarkStart w:id="71" w:name="placement-des-modèles-dans-les-schémas"/>
    <w:p>
      <w:pPr>
        <w:pStyle w:val="Heading3"/>
      </w:pPr>
      <w:r>
        <w:rPr>
          <w:rStyle w:val="SectionNumber"/>
        </w:rPr>
        <w:t xml:space="preserve">3.3.2</w:t>
      </w:r>
      <w:r>
        <w:tab/>
      </w:r>
      <w:r>
        <w:t xml:space="preserve">Placement des modèles dans les schémas</w:t>
      </w:r>
    </w:p>
    <w:p>
      <w:pPr>
        <w:pStyle w:val="FirstParagraph"/>
      </w:pPr>
      <w:r>
        <w:t xml:space="preserve">Les modèles sont rangés par couche dans</w:t>
      </w:r>
      <w:r>
        <w:t xml:space="preserve"> </w:t>
      </w:r>
      <w:r>
        <w:rPr>
          <w:rStyle w:val="VerbatimChar"/>
        </w:rPr>
        <w:t xml:space="preserve">dbt_project.yml</w:t>
      </w:r>
      <w:r>
        <w:t xml:space="preserve"> </w:t>
      </w:r>
      <w:r>
        <w:t xml:space="preserve">: le dossier</w:t>
      </w:r>
      <w:r>
        <w:t xml:space="preserve"> </w:t>
      </w:r>
      <w:r>
        <w:rPr>
          <w:rStyle w:val="VerbatimChar"/>
        </w:rPr>
        <w:t xml:space="preserve">staging</w:t>
      </w:r>
      <w:r>
        <w:t xml:space="preserve"> </w:t>
      </w:r>
      <w:r>
        <w:t xml:space="preserve">produit des vues dans le schéma</w:t>
      </w:r>
      <w:r>
        <w:t xml:space="preserve"> </w:t>
      </w:r>
      <w:r>
        <w:rPr>
          <w:rStyle w:val="VerbatimChar"/>
        </w:rPr>
        <w:t xml:space="preserve">silver</w:t>
      </w:r>
      <w:r>
        <w:t xml:space="preserve">, le dossier</w:t>
      </w:r>
      <w:r>
        <w:t xml:space="preserve"> </w:t>
      </w:r>
      <w:r>
        <w:rPr>
          <w:rStyle w:val="VerbatimChar"/>
        </w:rPr>
        <w:t xml:space="preserve">marts</w:t>
      </w:r>
      <w:r>
        <w:t xml:space="preserve"> </w:t>
      </w:r>
      <w:r>
        <w:t xml:space="preserve">des tables dans le schéma</w:t>
      </w:r>
      <w:r>
        <w:t xml:space="preserve"> </w:t>
      </w:r>
      <w:r>
        <w:rPr>
          <w:rStyle w:val="VerbatimChar"/>
        </w:rPr>
        <w:t xml:space="preserve">gold</w:t>
      </w:r>
      <w:r>
        <w:t xml:space="preserve">. Par défaut, dbt préfixe ce nom par le schéma de la cible et aurait créé</w:t>
      </w:r>
      <w:r>
        <w:t xml:space="preserve"> </w:t>
      </w:r>
      <w:r>
        <w:rPr>
          <w:rStyle w:val="VerbatimChar"/>
        </w:rPr>
        <w:t xml:space="preserve">SILVER_SILVER</w:t>
      </w:r>
      <w:r>
        <w:t xml:space="preserve"> </w:t>
      </w:r>
      <w:r>
        <w:t xml:space="preserve">et</w:t>
      </w:r>
      <w:r>
        <w:t xml:space="preserve"> </w:t>
      </w:r>
      <w:r>
        <w:rPr>
          <w:rStyle w:val="VerbatimChar"/>
        </w:rPr>
        <w:t xml:space="preserve">SILVER_GOLD</w:t>
      </w:r>
      <w:r>
        <w:t xml:space="preserve">. La macro du code 3.4 remplace ce comportement.</w:t>
      </w:r>
    </w:p>
    <w:p>
      <w:pPr>
        <w:pStyle w:val="BodyText"/>
      </w:pPr>
      <w:r>
        <w:rPr>
          <w:bCs/>
          <w:b/>
        </w:rPr>
        <w:t xml:space="preserve">Code 3.4</w:t>
      </w:r>
      <w:r>
        <w:t xml:space="preserve"> – Surcharge du nommage des schémas (macros/generate_schema_name.sql)</w:t>
      </w:r>
    </w:p>
    <w:bookmarkStart w:id="70" w:name="code:schema"/>
    <w:p>
      <w:pPr>
        <w:pStyle w:val="SourceCode"/>
      </w:pPr>
      <w:r>
        <w:rPr>
          <w:rStyle w:val="DecValTok"/>
        </w:rPr>
        <w:t xml:space="preserve">1</w:t>
      </w:r>
      <w:r>
        <w:rPr>
          <w:rStyle w:val="NormalTok"/>
        </w:rPr>
        <w:t xml:space="preserve">  {% macro generate_schema_name(custom_schema_name, node) </w:t>
      </w:r>
      <w:r>
        <w:rPr>
          <w:rStyle w:val="OperatorTok"/>
        </w:rPr>
        <w:t xml:space="preserve">-</w:t>
      </w:r>
      <w:r>
        <w:rPr>
          <w:rStyle w:val="NormalTok"/>
        </w:rPr>
        <w:t xml:space="preserve">%}</w:t>
      </w:r>
      <w:r>
        <w:br/>
      </w:r>
      <w:r>
        <w:rPr>
          <w:rStyle w:val="DecValTok"/>
        </w:rPr>
        <w:t xml:space="preserve">2</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custom_schema_name </w:t>
      </w:r>
      <w:r>
        <w:rPr>
          <w:rStyle w:val="KeywordTok"/>
        </w:rPr>
        <w:t xml:space="preserve">is</w:t>
      </w:r>
      <w:r>
        <w:rPr>
          <w:rStyle w:val="NormalTok"/>
        </w:rPr>
        <w:t xml:space="preserve"> </w:t>
      </w:r>
      <w:r>
        <w:rPr>
          <w:rStyle w:val="KeywordTok"/>
        </w:rPr>
        <w:t xml:space="preserve">none</w:t>
      </w:r>
      <w:r>
        <w:rPr>
          <w:rStyle w:val="NormalTok"/>
        </w:rPr>
        <w:t xml:space="preserve"> </w:t>
      </w:r>
      <w:r>
        <w:rPr>
          <w:rStyle w:val="OperatorTok"/>
        </w:rPr>
        <w:t xml:space="preserve">-</w:t>
      </w:r>
      <w:r>
        <w:rPr>
          <w:rStyle w:val="NormalTok"/>
        </w:rPr>
        <w:t xml:space="preserve">%}</w:t>
      </w:r>
      <w:r>
        <w:br/>
      </w:r>
      <w:r>
        <w:rPr>
          <w:rStyle w:val="DecValTok"/>
        </w:rPr>
        <w:t xml:space="preserve">3</w:t>
      </w:r>
      <w:r>
        <w:rPr>
          <w:rStyle w:val="NormalTok"/>
        </w:rPr>
        <w:t xml:space="preserve">          {{ target.</w:t>
      </w:r>
      <w:r>
        <w:rPr>
          <w:rStyle w:val="KeywordTok"/>
        </w:rPr>
        <w:t xml:space="preserve">schema</w:t>
      </w:r>
      <w:r>
        <w:rPr>
          <w:rStyle w:val="NormalTok"/>
        </w:rPr>
        <w:t xml:space="preserve"> }}</w:t>
      </w:r>
      <w:r>
        <w:br/>
      </w:r>
      <w:r>
        <w:rPr>
          <w:rStyle w:val="DecValTok"/>
        </w:rPr>
        <w:t xml:space="preserve">4</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w:t>
      </w:r>
      <w:r>
        <w:br/>
      </w:r>
      <w:r>
        <w:rPr>
          <w:rStyle w:val="DecValTok"/>
        </w:rPr>
        <w:t xml:space="preserve">5</w:t>
      </w:r>
      <w:r>
        <w:rPr>
          <w:rStyle w:val="NormalTok"/>
        </w:rPr>
        <w:t xml:space="preserve">          {{ custom_schema_name | </w:t>
      </w:r>
      <w:r>
        <w:rPr>
          <w:rStyle w:val="FunctionTok"/>
        </w:rPr>
        <w:t xml:space="preserve">trim</w:t>
      </w:r>
      <w:r>
        <w:rPr>
          <w:rStyle w:val="NormalTok"/>
        </w:rPr>
        <w:t xml:space="preserve"> }}</w:t>
      </w:r>
      <w:r>
        <w:br/>
      </w:r>
      <w:r>
        <w:rPr>
          <w:rStyle w:val="DecValTok"/>
        </w:rPr>
        <w:t xml:space="preserve">6</w:t>
      </w:r>
      <w:r>
        <w:rPr>
          <w:rStyle w:val="NormalTok"/>
        </w:rPr>
        <w:t xml:space="preserve">      {%</w:t>
      </w:r>
      <w:r>
        <w:rPr>
          <w:rStyle w:val="OperatorTok"/>
        </w:rPr>
        <w:t xml:space="preserve">-</w:t>
      </w:r>
      <w:r>
        <w:rPr>
          <w:rStyle w:val="NormalTok"/>
        </w:rPr>
        <w:t xml:space="preserve"> endif </w:t>
      </w:r>
      <w:r>
        <w:rPr>
          <w:rStyle w:val="OperatorTok"/>
        </w:rPr>
        <w:t xml:space="preserve">-</w:t>
      </w:r>
      <w:r>
        <w:rPr>
          <w:rStyle w:val="NormalTok"/>
        </w:rPr>
        <w:t xml:space="preserve">%}</w:t>
      </w:r>
      <w:r>
        <w:br/>
      </w:r>
      <w:r>
        <w:rPr>
          <w:rStyle w:val="DecValTok"/>
        </w:rPr>
        <w:t xml:space="preserve">7</w:t>
      </w:r>
      <w:r>
        <w:rPr>
          <w:rStyle w:val="NormalTok"/>
        </w:rPr>
        <w:t xml:space="preserve">  {%</w:t>
      </w:r>
      <w:r>
        <w:rPr>
          <w:rStyle w:val="OperatorTok"/>
        </w:rPr>
        <w:t xml:space="preserve">-</w:t>
      </w:r>
      <w:r>
        <w:rPr>
          <w:rStyle w:val="NormalTok"/>
        </w:rPr>
        <w:t xml:space="preserve"> endmacro %}</w:t>
      </w:r>
    </w:p>
    <w:bookmarkEnd w:id="70"/>
    <w:p>
      <w:pPr>
        <w:pStyle w:val="FirstParagraph"/>
      </w:pPr>
      <w:r>
        <w:t xml:space="preserve">Quand un modèle déclare un schéma, ce nom est utilisé tel quel (ligne 5) ; sinon le modèle va dans le schéma de la cible (ligne 3).</w:t>
      </w:r>
    </w:p>
    <w:bookmarkEnd w:id="71"/>
    <w:bookmarkStart w:id="73" w:name="couche-silver"/>
    <w:p>
      <w:pPr>
        <w:pStyle w:val="Heading3"/>
      </w:pPr>
      <w:r>
        <w:rPr>
          <w:rStyle w:val="SectionNumber"/>
        </w:rPr>
        <w:t xml:space="preserve">3.3.3</w:t>
      </w:r>
      <w:r>
        <w:tab/>
      </w:r>
      <w:r>
        <w:t xml:space="preserve">Couche Silver</w:t>
      </w:r>
    </w:p>
    <w:p>
      <w:pPr>
        <w:pStyle w:val="FirstParagraph"/>
      </w:pPr>
      <w:r>
        <w:t xml:space="preserve">La couche Silver compte sept vues</w:t>
      </w:r>
      <w:r>
        <w:t xml:space="preserve"> </w:t>
      </w:r>
      <w:r>
        <w:rPr>
          <w:rStyle w:val="VerbatimChar"/>
        </w:rPr>
        <w:t xml:space="preserve">stg_*</w:t>
      </w:r>
      <w:r>
        <w:t xml:space="preserve">, une par table utile. Elles renomment et typent les colonnes, et effectuent les jointures purement techniques. Ainsi, la date de facturation et le client sont portés par l’en-tête de facture, alors que le bénéfice est porté par la ligne ; la vue</w:t>
      </w:r>
      <w:r>
        <w:t xml:space="preserve"> </w:t>
      </w:r>
      <w:r>
        <w:rPr>
          <w:rStyle w:val="VerbatimChar"/>
        </w:rPr>
        <w:t xml:space="preserve">stg_invoice_lines</w:t>
      </w:r>
      <w:r>
        <w:t xml:space="preserve"> </w:t>
      </w:r>
      <w:r>
        <w:t xml:space="preserve">rassemble les deux.</w:t>
      </w:r>
    </w:p>
    <w:p>
      <w:pPr>
        <w:pStyle w:val="BodyText"/>
      </w:pPr>
      <w:r>
        <w:rPr>
          <w:bCs/>
          <w:b/>
        </w:rPr>
        <w:t xml:space="preserve">Code 3.5</w:t>
      </w:r>
      <w:r>
        <w:t xml:space="preserve"> – Vue Silver des lignes de facture (models/staging/stg_invoice_lines.sql)</w:t>
      </w:r>
    </w:p>
    <w:bookmarkStart w:id="72" w:name="code:stg"/>
    <w:p>
      <w:pPr>
        <w:pStyle w:val="SourceCode"/>
      </w:pPr>
      <w:r>
        <w:rPr>
          <w:rStyle w:val="NormalTok"/>
        </w:rPr>
        <w:t xml:space="preserve"> </w:t>
      </w:r>
      <w:r>
        <w:rPr>
          <w:rStyle w:val="DecValTok"/>
        </w:rPr>
        <w:t xml:space="preserve">1</w:t>
      </w:r>
      <w:r>
        <w:rPr>
          <w:rStyle w:val="NormalTok"/>
        </w:rPr>
        <w:t xml:space="preserve">  </w:t>
      </w:r>
      <w:r>
        <w:rPr>
          <w:rStyle w:val="KeywordTok"/>
        </w:rPr>
        <w:t xml:space="preserve">with</w:t>
      </w:r>
      <w:r>
        <w:rPr>
          <w:rStyle w:val="NormalTok"/>
        </w:rPr>
        <w:t xml:space="preserve"> </w:t>
      </w:r>
      <w:r>
        <w:rPr>
          <w:rStyle w:val="KeywordTok"/>
        </w:rPr>
        <w:t xml:space="preserve">source</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 </w:t>
      </w:r>
      <w:r>
        <w:rPr>
          <w:rStyle w:val="KeywordTok"/>
        </w:rPr>
        <w:t xml:space="preserve">source</w:t>
      </w:r>
      <w:r>
        <w:rPr>
          <w:rStyle w:val="NormalTok"/>
        </w:rPr>
        <w:t xml:space="preserve">(</w:t>
      </w:r>
      <w:r>
        <w:rPr>
          <w:rStyle w:val="StringTok"/>
        </w:rPr>
        <w:t xml:space="preserve">'bronze'</w:t>
      </w:r>
      <w:r>
        <w:rPr>
          <w:rStyle w:val="NormalTok"/>
        </w:rPr>
        <w:t xml:space="preserve">, </w:t>
      </w:r>
      <w:r>
        <w:rPr>
          <w:rStyle w:val="StringTok"/>
        </w:rPr>
        <w:t xml:space="preserve">'InvoiceLines'</w:t>
      </w:r>
      <w:r>
        <w:rPr>
          <w:rStyle w:val="NormalTok"/>
        </w:rPr>
        <w:t xml:space="preserve">) }}</w:t>
      </w:r>
      <w:r>
        <w:br/>
      </w:r>
      <w:r>
        <w:rPr>
          <w:rStyle w:val="NormalTok"/>
        </w:rPr>
        <w:t xml:space="preserve"> </w:t>
      </w:r>
      <w:r>
        <w:rPr>
          <w:rStyle w:val="DecValTok"/>
        </w:rPr>
        <w:t xml:space="preserve">3</w:t>
      </w:r>
      <w:r>
        <w:rPr>
          <w:rStyle w:val="NormalTok"/>
        </w:rPr>
        <w:t xml:space="preserve">  ),</w:t>
      </w:r>
      <w:r>
        <w:br/>
      </w:r>
      <w:r>
        <w:rPr>
          <w:rStyle w:val="NormalTok"/>
        </w:rPr>
        <w:t xml:space="preserve"> </w:t>
      </w:r>
      <w:r>
        <w:rPr>
          <w:rStyle w:val="DecValTok"/>
        </w:rPr>
        <w:t xml:space="preserve">4</w:t>
      </w:r>
      <w:r>
        <w:rPr>
          <w:rStyle w:val="NormalTok"/>
        </w:rPr>
        <w:t xml:space="preserve">  source2 </w:t>
      </w:r>
      <w:r>
        <w:rPr>
          <w:rStyle w:val="KeywordTok"/>
        </w:rPr>
        <w:t xml:space="preserve">as</w:t>
      </w:r>
      <w:r>
        <w:rPr>
          <w:rStyle w:val="NormalTok"/>
        </w:rPr>
        <w:t xml:space="preserve"> (</w:t>
      </w:r>
      <w:r>
        <w:br/>
      </w:r>
      <w:r>
        <w:rPr>
          <w:rStyle w:val="NormalTok"/>
        </w:rPr>
        <w:t xml:space="preserve"> </w:t>
      </w:r>
      <w:r>
        <w:rPr>
          <w:rStyle w:val="DecValTok"/>
        </w:rPr>
        <w:t xml:space="preserve">5</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 </w:t>
      </w:r>
      <w:r>
        <w:rPr>
          <w:rStyle w:val="KeywordTok"/>
        </w:rPr>
        <w:t xml:space="preserve">source</w:t>
      </w:r>
      <w:r>
        <w:rPr>
          <w:rStyle w:val="NormalTok"/>
        </w:rPr>
        <w:t xml:space="preserve">(</w:t>
      </w:r>
      <w:r>
        <w:rPr>
          <w:rStyle w:val="StringTok"/>
        </w:rPr>
        <w:t xml:space="preserve">'bronze'</w:t>
      </w:r>
      <w:r>
        <w:rPr>
          <w:rStyle w:val="NormalTok"/>
        </w:rPr>
        <w:t xml:space="preserve">, </w:t>
      </w:r>
      <w:r>
        <w:rPr>
          <w:rStyle w:val="StringTok"/>
        </w:rPr>
        <w:t xml:space="preserve">'Invoices'</w:t>
      </w:r>
      <w:r>
        <w:rPr>
          <w:rStyle w:val="NormalTok"/>
        </w:rPr>
        <w:t xml:space="preserve">) }}</w:t>
      </w:r>
      <w:r>
        <w:br/>
      </w:r>
      <w:r>
        <w:rPr>
          <w:rStyle w:val="NormalTok"/>
        </w:rPr>
        <w:t xml:space="preserve"> </w:t>
      </w:r>
      <w:r>
        <w:rPr>
          <w:rStyle w:val="DecValTok"/>
        </w:rPr>
        <w:t xml:space="preserve">6</w:t>
      </w:r>
      <w:r>
        <w:rPr>
          <w:rStyle w:val="NormalTok"/>
        </w:rPr>
        <w:t xml:space="preserve">  ),</w:t>
      </w:r>
      <w:r>
        <w:br/>
      </w:r>
      <w:r>
        <w:rPr>
          <w:rStyle w:val="NormalTok"/>
        </w:rPr>
        <w:t xml:space="preserve"> </w:t>
      </w:r>
      <w:r>
        <w:rPr>
          <w:rStyle w:val="DecValTok"/>
        </w:rPr>
        <w:t xml:space="preserve">7</w:t>
      </w:r>
      <w:r>
        <w:rPr>
          <w:rStyle w:val="NormalTok"/>
        </w:rPr>
        <w:t xml:space="preserve">  renamed </w:t>
      </w:r>
      <w:r>
        <w:rPr>
          <w:rStyle w:val="KeywordTok"/>
        </w:rPr>
        <w:t xml:space="preserve">as</w:t>
      </w:r>
      <w:r>
        <w:rPr>
          <w:rStyle w:val="NormalTok"/>
        </w:rPr>
        <w:t xml:space="preserve"> (</w:t>
      </w:r>
      <w:r>
        <w:br/>
      </w:r>
      <w:r>
        <w:rPr>
          <w:rStyle w:val="NormalTok"/>
        </w:rPr>
        <w:t xml:space="preserve"> </w:t>
      </w:r>
      <w:r>
        <w:rPr>
          <w:rStyle w:val="DecValTok"/>
        </w:rPr>
        <w:t xml:space="preserve">8</w:t>
      </w:r>
      <w:r>
        <w:rPr>
          <w:rStyle w:val="NormalTok"/>
        </w:rPr>
        <w:t xml:space="preserve">      </w:t>
      </w:r>
      <w:r>
        <w:rPr>
          <w:rStyle w:val="KeywordTok"/>
        </w:rPr>
        <w:t xml:space="preserve">select</w:t>
      </w:r>
      <w:r>
        <w:br/>
      </w:r>
      <w:r>
        <w:rPr>
          <w:rStyle w:val="NormalTok"/>
        </w:rPr>
        <w:t xml:space="preserve"> </w:t>
      </w:r>
      <w:r>
        <w:rPr>
          <w:rStyle w:val="DecValTok"/>
        </w:rPr>
        <w:t xml:space="preserve">9</w:t>
      </w:r>
      <w:r>
        <w:rPr>
          <w:rStyle w:val="NormalTok"/>
        </w:rPr>
        <w:t xml:space="preserve">      il.invoice_line_id,</w:t>
      </w:r>
      <w:r>
        <w:br/>
      </w:r>
      <w:r>
        <w:rPr>
          <w:rStyle w:val="DecValTok"/>
        </w:rPr>
        <w:t xml:space="preserve">10</w:t>
      </w:r>
      <w:r>
        <w:rPr>
          <w:rStyle w:val="NormalTok"/>
        </w:rPr>
        <w:t xml:space="preserve">      il.invoice_id,</w:t>
      </w:r>
      <w:r>
        <w:br/>
      </w:r>
      <w:r>
        <w:rPr>
          <w:rStyle w:val="DecValTok"/>
        </w:rPr>
        <w:t xml:space="preserve">11</w:t>
      </w:r>
      <w:r>
        <w:rPr>
          <w:rStyle w:val="NormalTok"/>
        </w:rPr>
        <w:t xml:space="preserve">      i.order_id,</w:t>
      </w:r>
      <w:r>
        <w:br/>
      </w:r>
      <w:r>
        <w:rPr>
          <w:rStyle w:val="DecValTok"/>
        </w:rPr>
        <w:t xml:space="preserve">12</w:t>
      </w:r>
      <w:r>
        <w:rPr>
          <w:rStyle w:val="NormalTok"/>
        </w:rPr>
        <w:t xml:space="preserve">      i.customer_id,</w:t>
      </w:r>
      <w:r>
        <w:br/>
      </w:r>
      <w:r>
        <w:rPr>
          <w:rStyle w:val="DecValTok"/>
        </w:rPr>
        <w:t xml:space="preserve">13</w:t>
      </w:r>
      <w:r>
        <w:rPr>
          <w:rStyle w:val="NormalTok"/>
        </w:rPr>
        <w:t xml:space="preserve">      i.salesperson_person_id,</w:t>
      </w:r>
      <w:r>
        <w:br/>
      </w:r>
      <w:r>
        <w:rPr>
          <w:rStyle w:val="DecValTok"/>
        </w:rPr>
        <w:t xml:space="preserve">14</w:t>
      </w:r>
      <w:r>
        <w:rPr>
          <w:rStyle w:val="NormalTok"/>
        </w:rPr>
        <w:t xml:space="preserve">      </w:t>
      </w:r>
      <w:r>
        <w:rPr>
          <w:rStyle w:val="FunctionTok"/>
        </w:rPr>
        <w:t xml:space="preserve">cast</w:t>
      </w:r>
      <w:r>
        <w:rPr>
          <w:rStyle w:val="NormalTok"/>
        </w:rPr>
        <w:t xml:space="preserve">(i.invoice_date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invoice_date,</w:t>
      </w:r>
      <w:r>
        <w:br/>
      </w:r>
      <w:r>
        <w:rPr>
          <w:rStyle w:val="DecValTok"/>
        </w:rPr>
        <w:t xml:space="preserve">15</w:t>
      </w:r>
      <w:r>
        <w:rPr>
          <w:rStyle w:val="NormalTok"/>
        </w:rPr>
        <w:t xml:space="preserve">      il.stock_item_id,</w:t>
      </w:r>
      <w:r>
        <w:br/>
      </w:r>
      <w:r>
        <w:rPr>
          <w:rStyle w:val="DecValTok"/>
        </w:rPr>
        <w:t xml:space="preserve">16</w:t>
      </w:r>
      <w:r>
        <w:rPr>
          <w:rStyle w:val="NormalTok"/>
        </w:rPr>
        <w:t xml:space="preserve">      il.quantity,</w:t>
      </w:r>
      <w:r>
        <w:br/>
      </w:r>
      <w:r>
        <w:rPr>
          <w:rStyle w:val="DecValTok"/>
        </w:rPr>
        <w:t xml:space="preserve">17</w:t>
      </w:r>
      <w:r>
        <w:rPr>
          <w:rStyle w:val="NormalTok"/>
        </w:rPr>
        <w:t xml:space="preserve">      il.unit_price,</w:t>
      </w:r>
      <w:r>
        <w:br/>
      </w:r>
      <w:r>
        <w:rPr>
          <w:rStyle w:val="DecValTok"/>
        </w:rPr>
        <w:t xml:space="preserve">18</w:t>
      </w:r>
      <w:r>
        <w:rPr>
          <w:rStyle w:val="NormalTok"/>
        </w:rPr>
        <w:t xml:space="preserve">      il.extended_price,</w:t>
      </w:r>
      <w:r>
        <w:br/>
      </w:r>
      <w:r>
        <w:rPr>
          <w:rStyle w:val="DecValTok"/>
        </w:rPr>
        <w:t xml:space="preserve">19</w:t>
      </w:r>
      <w:r>
        <w:rPr>
          <w:rStyle w:val="NormalTok"/>
        </w:rPr>
        <w:t xml:space="preserve">      il.tax_amount,</w:t>
      </w:r>
      <w:r>
        <w:br/>
      </w:r>
      <w:r>
        <w:rPr>
          <w:rStyle w:val="DecValTok"/>
        </w:rPr>
        <w:t xml:space="preserve">20</w:t>
      </w:r>
      <w:r>
        <w:rPr>
          <w:rStyle w:val="NormalTok"/>
        </w:rPr>
        <w:t xml:space="preserve">      il.line_profit</w:t>
      </w:r>
      <w:r>
        <w:br/>
      </w:r>
      <w:r>
        <w:rPr>
          <w:rStyle w:val="DecValTok"/>
        </w:rPr>
        <w:t xml:space="preserve">21</w:t>
      </w:r>
      <w:r>
        <w:rPr>
          <w:rStyle w:val="NormalTok"/>
        </w:rPr>
        <w:t xml:space="preserve">      </w:t>
      </w:r>
      <w:r>
        <w:rPr>
          <w:rStyle w:val="KeywordTok"/>
        </w:rPr>
        <w:t xml:space="preserve">from</w:t>
      </w:r>
      <w:r>
        <w:rPr>
          <w:rStyle w:val="NormalTok"/>
        </w:rPr>
        <w:t xml:space="preserve"> </w:t>
      </w:r>
      <w:r>
        <w:rPr>
          <w:rStyle w:val="KeywordTok"/>
        </w:rPr>
        <w:t xml:space="preserve">source</w:t>
      </w:r>
      <w:r>
        <w:rPr>
          <w:rStyle w:val="NormalTok"/>
        </w:rPr>
        <w:t xml:space="preserve"> il</w:t>
      </w:r>
      <w:r>
        <w:br/>
      </w:r>
      <w:r>
        <w:rPr>
          <w:rStyle w:val="DecValTok"/>
        </w:rPr>
        <w:t xml:space="preserve">22</w:t>
      </w:r>
      <w:r>
        <w:rPr>
          <w:rStyle w:val="NormalTok"/>
        </w:rPr>
        <w:t xml:space="preserve">      </w:t>
      </w:r>
      <w:r>
        <w:rPr>
          <w:rStyle w:val="KeywordTok"/>
        </w:rPr>
        <w:t xml:space="preserve">join</w:t>
      </w:r>
      <w:r>
        <w:rPr>
          <w:rStyle w:val="NormalTok"/>
        </w:rPr>
        <w:t xml:space="preserve"> source2 i </w:t>
      </w:r>
      <w:r>
        <w:rPr>
          <w:rStyle w:val="KeywordTok"/>
        </w:rPr>
        <w:t xml:space="preserve">on</w:t>
      </w:r>
      <w:r>
        <w:rPr>
          <w:rStyle w:val="NormalTok"/>
        </w:rPr>
        <w:t xml:space="preserve"> il.invoice_id </w:t>
      </w:r>
      <w:r>
        <w:rPr>
          <w:rStyle w:val="OperatorTok"/>
        </w:rPr>
        <w:t xml:space="preserve">=</w:t>
      </w:r>
      <w:r>
        <w:rPr>
          <w:rStyle w:val="NormalTok"/>
        </w:rPr>
        <w:t xml:space="preserve"> i.invoice_id</w:t>
      </w:r>
      <w:r>
        <w:br/>
      </w:r>
      <w:r>
        <w:rPr>
          <w:rStyle w:val="DecValTok"/>
        </w:rPr>
        <w:t xml:space="preserve">23</w:t>
      </w:r>
      <w:r>
        <w:rPr>
          <w:rStyle w:val="NormalTok"/>
        </w:rPr>
        <w:t xml:space="preserve">  )</w:t>
      </w:r>
      <w:r>
        <w:br/>
      </w:r>
      <w:r>
        <w:rPr>
          <w:rStyle w:val="DecValTok"/>
        </w:rPr>
        <w:t xml:space="preserve">24</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renamed</w:t>
      </w:r>
    </w:p>
    <w:bookmarkEnd w:id="72"/>
    <w:p>
      <w:pPr>
        <w:pStyle w:val="FirstParagraph"/>
      </w:pPr>
      <w:r>
        <w:t xml:space="preserve">La fonction</w:t>
      </w:r>
      <w:r>
        <w:t xml:space="preserve"> </w:t>
      </w:r>
      <w:r>
        <w:rPr>
          <w:rStyle w:val="VerbatimChar"/>
        </w:rPr>
        <w:t xml:space="preserve">source()</w:t>
      </w:r>
      <w:r>
        <w:t xml:space="preserve"> </w:t>
      </w:r>
      <w:r>
        <w:t xml:space="preserve">(lignes 2 et 5) désigne une table Bronze par son nom logique ; dbt en déduit l’ordre d’exécution et le lignage. La conversion de la ligne 14 ramène la date de facturation au type</w:t>
      </w:r>
      <w:r>
        <w:t xml:space="preserve"> </w:t>
      </w:r>
      <w:r>
        <w:rPr>
          <w:rStyle w:val="VerbatimChar"/>
        </w:rPr>
        <w:t xml:space="preserve">DATE</w:t>
      </w:r>
      <w:r>
        <w:t xml:space="preserve">, qui se joint directement à la dimension calendrier.</w:t>
      </w:r>
    </w:p>
    <w:bookmarkEnd w:id="73"/>
    <w:bookmarkStart w:id="75" w:name="couche-gold"/>
    <w:p>
      <w:pPr>
        <w:pStyle w:val="Heading3"/>
      </w:pPr>
      <w:r>
        <w:rPr>
          <w:rStyle w:val="SectionNumber"/>
        </w:rPr>
        <w:t xml:space="preserve">3.3.4</w:t>
      </w:r>
      <w:r>
        <w:tab/>
      </w:r>
      <w:r>
        <w:t xml:space="preserve">Couche Gold</w:t>
      </w:r>
    </w:p>
    <w:p>
      <w:pPr>
        <w:pStyle w:val="FirstParagraph"/>
      </w:pPr>
      <w:r>
        <w:t xml:space="preserve">La couche Gold contient les quatre dimensions et les deux tables de faits décrites au chapitre 2. Le code 3.6 montre la table</w:t>
      </w:r>
      <w:r>
        <w:t xml:space="preserve"> </w:t>
      </w:r>
      <w:r>
        <w:rPr>
          <w:rStyle w:val="VerbatimChar"/>
        </w:rPr>
        <w:t xml:space="preserve">fct_sales</w:t>
      </w:r>
      <w:r>
        <w:t xml:space="preserve">, qui porte la définition du chiffre d’affaires.</w:t>
      </w:r>
    </w:p>
    <w:p>
      <w:pPr>
        <w:pStyle w:val="BodyText"/>
      </w:pPr>
      <w:r>
        <w:rPr>
          <w:bCs/>
          <w:b/>
        </w:rPr>
        <w:t xml:space="preserve">Code 3.6</w:t>
      </w:r>
      <w:r>
        <w:t xml:space="preserve"> – Table de faits des ventes (models/marts/fct_sales.sql)</w:t>
      </w:r>
    </w:p>
    <w:bookmarkStart w:id="74" w:name="code:fct"/>
    <w:p>
      <w:pPr>
        <w:pStyle w:val="SourceCode"/>
      </w:pPr>
      <w:r>
        <w:rPr>
          <w:rStyle w:val="NormalTok"/>
        </w:rPr>
        <w:t xml:space="preserve"> </w:t>
      </w:r>
      <w:r>
        <w:rPr>
          <w:rStyle w:val="DecValTok"/>
        </w:rPr>
        <w:t xml:space="preserve">1</w:t>
      </w:r>
      <w:r>
        <w:rPr>
          <w:rStyle w:val="NormalTok"/>
        </w:rPr>
        <w:t xml:space="preserve">  </w:t>
      </w:r>
      <w:r>
        <w:rPr>
          <w:rStyle w:val="KeywordTok"/>
        </w:rPr>
        <w:t xml:space="preserve">select</w:t>
      </w:r>
      <w:r>
        <w:br/>
      </w:r>
      <w:r>
        <w:rPr>
          <w:rStyle w:val="NormalTok"/>
        </w:rPr>
        <w:t xml:space="preserve"> </w:t>
      </w:r>
      <w:r>
        <w:rPr>
          <w:rStyle w:val="DecValTok"/>
        </w:rPr>
        <w:t xml:space="preserve">2</w:t>
      </w:r>
      <w:r>
        <w:rPr>
          <w:rStyle w:val="NormalTok"/>
        </w:rPr>
        <w:t xml:space="preserve">      ol.order_line_id,</w:t>
      </w:r>
      <w:r>
        <w:br/>
      </w:r>
      <w:r>
        <w:rPr>
          <w:rStyle w:val="NormalTok"/>
        </w:rPr>
        <w:t xml:space="preserve"> </w:t>
      </w:r>
      <w:r>
        <w:rPr>
          <w:rStyle w:val="DecValTok"/>
        </w:rPr>
        <w:t xml:space="preserve">3</w:t>
      </w:r>
      <w:r>
        <w:rPr>
          <w:rStyle w:val="NormalTok"/>
        </w:rPr>
        <w:t xml:space="preserve">      o.order_id,</w:t>
      </w:r>
      <w:r>
        <w:br/>
      </w:r>
      <w:r>
        <w:rPr>
          <w:rStyle w:val="NormalTok"/>
        </w:rPr>
        <w:t xml:space="preserve"> </w:t>
      </w:r>
      <w:r>
        <w:rPr>
          <w:rStyle w:val="DecValTok"/>
        </w:rPr>
        <w:t xml:space="preserve">4</w:t>
      </w:r>
      <w:r>
        <w:rPr>
          <w:rStyle w:val="NormalTok"/>
        </w:rPr>
        <w:t xml:space="preserve">      o.order_date,</w:t>
      </w:r>
      <w:r>
        <w:br/>
      </w:r>
      <w:r>
        <w:rPr>
          <w:rStyle w:val="NormalTok"/>
        </w:rPr>
        <w:t xml:space="preserve"> </w:t>
      </w:r>
      <w:r>
        <w:rPr>
          <w:rStyle w:val="DecValTok"/>
        </w:rPr>
        <w:t xml:space="preserve">5</w:t>
      </w:r>
      <w:r>
        <w:rPr>
          <w:rStyle w:val="NormalTok"/>
        </w:rPr>
        <w:t xml:space="preserve">      o.customer_id,</w:t>
      </w:r>
      <w:r>
        <w:br/>
      </w:r>
      <w:r>
        <w:rPr>
          <w:rStyle w:val="NormalTok"/>
        </w:rPr>
        <w:t xml:space="preserve"> </w:t>
      </w:r>
      <w:r>
        <w:rPr>
          <w:rStyle w:val="DecValTok"/>
        </w:rPr>
        <w:t xml:space="preserve">6</w:t>
      </w:r>
      <w:r>
        <w:rPr>
          <w:rStyle w:val="NormalTok"/>
        </w:rPr>
        <w:t xml:space="preserve">      o.salesperson_person_id     </w:t>
      </w:r>
      <w:r>
        <w:rPr>
          <w:rStyle w:val="KeywordTok"/>
        </w:rPr>
        <w:t xml:space="preserve">as</w:t>
      </w:r>
      <w:r>
        <w:rPr>
          <w:rStyle w:val="NormalTok"/>
        </w:rPr>
        <w:t xml:space="preserve"> salesperson_id,</w:t>
      </w:r>
      <w:r>
        <w:br/>
      </w:r>
      <w:r>
        <w:rPr>
          <w:rStyle w:val="NormalTok"/>
        </w:rPr>
        <w:t xml:space="preserve"> </w:t>
      </w:r>
      <w:r>
        <w:rPr>
          <w:rStyle w:val="DecValTok"/>
        </w:rPr>
        <w:t xml:space="preserve">7</w:t>
      </w:r>
      <w:r>
        <w:rPr>
          <w:rStyle w:val="NormalTok"/>
        </w:rPr>
        <w:t xml:space="preserve">      ol.stock_item_id            </w:t>
      </w:r>
      <w:r>
        <w:rPr>
          <w:rStyle w:val="KeywordTok"/>
        </w:rPr>
        <w:t xml:space="preserve">as</w:t>
      </w:r>
      <w:r>
        <w:rPr>
          <w:rStyle w:val="NormalTok"/>
        </w:rPr>
        <w:t xml:space="preserve"> product_id,</w:t>
      </w:r>
      <w:r>
        <w:br/>
      </w:r>
      <w:r>
        <w:rPr>
          <w:rStyle w:val="NormalTok"/>
        </w:rPr>
        <w:t xml:space="preserve"> </w:t>
      </w:r>
      <w:r>
        <w:rPr>
          <w:rStyle w:val="DecValTok"/>
        </w:rPr>
        <w:t xml:space="preserve">8</w:t>
      </w:r>
      <w:r>
        <w:rPr>
          <w:rStyle w:val="NormalTok"/>
        </w:rPr>
        <w:t xml:space="preserve">      ol.quantity,</w:t>
      </w:r>
      <w:r>
        <w:br/>
      </w:r>
      <w:r>
        <w:rPr>
          <w:rStyle w:val="NormalTok"/>
        </w:rPr>
        <w:t xml:space="preserve"> </w:t>
      </w:r>
      <w:r>
        <w:rPr>
          <w:rStyle w:val="DecValTok"/>
        </w:rPr>
        <w:t xml:space="preserve">9</w:t>
      </w:r>
      <w:r>
        <w:rPr>
          <w:rStyle w:val="NormalTok"/>
        </w:rPr>
        <w:t xml:space="preserve">      ol.unit_price,</w:t>
      </w:r>
      <w:r>
        <w:br/>
      </w:r>
      <w:r>
        <w:rPr>
          <w:rStyle w:val="DecValTok"/>
        </w:rPr>
        <w:t xml:space="preserve">10</w:t>
      </w:r>
      <w:r>
        <w:rPr>
          <w:rStyle w:val="NormalTok"/>
        </w:rPr>
        <w:t xml:space="preserve">      ol.quantity </w:t>
      </w:r>
      <w:r>
        <w:rPr>
          <w:rStyle w:val="OperatorTok"/>
        </w:rPr>
        <w:t xml:space="preserve">*</w:t>
      </w:r>
      <w:r>
        <w:rPr>
          <w:rStyle w:val="NormalTok"/>
        </w:rPr>
        <w:t xml:space="preserve"> ol.unit_price </w:t>
      </w:r>
      <w:r>
        <w:rPr>
          <w:rStyle w:val="KeywordTok"/>
        </w:rPr>
        <w:t xml:space="preserve">as</w:t>
      </w:r>
      <w:r>
        <w:rPr>
          <w:rStyle w:val="NormalTok"/>
        </w:rPr>
        <w:t xml:space="preserve"> sales_amount_excl_tax,</w:t>
      </w:r>
      <w:r>
        <w:br/>
      </w:r>
      <w:r>
        <w:rPr>
          <w:rStyle w:val="DecValTok"/>
        </w:rPr>
        <w:t xml:space="preserve">11</w:t>
      </w:r>
      <w:r>
        <w:rPr>
          <w:rStyle w:val="NormalTok"/>
        </w:rPr>
        <w:t xml:space="preserve">      ol.quantity </w:t>
      </w:r>
      <w:r>
        <w:rPr>
          <w:rStyle w:val="OperatorTok"/>
        </w:rPr>
        <w:t xml:space="preserve">*</w:t>
      </w:r>
      <w:r>
        <w:rPr>
          <w:rStyle w:val="NormalTok"/>
        </w:rPr>
        <w:t xml:space="preserve"> ol.unit_price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ol.tax_rate </w:t>
      </w:r>
      <w:r>
        <w:rPr>
          <w:rStyle w:val="OperatorTok"/>
        </w:rPr>
        <w:t xml:space="preserve">/</w:t>
      </w:r>
      <w:r>
        <w:rPr>
          <w:rStyle w:val="NormalTok"/>
        </w:rPr>
        <w:t xml:space="preserve"> </w:t>
      </w:r>
      <w:r>
        <w:rPr>
          <w:rStyle w:val="DecValTok"/>
        </w:rPr>
        <w:t xml:space="preserve">100</w:t>
      </w:r>
      <w:r>
        <w:rPr>
          <w:rStyle w:val="NormalTok"/>
        </w:rPr>
        <w:t xml:space="preserve">) </w:t>
      </w:r>
      <w:r>
        <w:rPr>
          <w:rStyle w:val="KeywordTok"/>
        </w:rPr>
        <w:t xml:space="preserve">as</w:t>
      </w:r>
      <w:r>
        <w:rPr>
          <w:rStyle w:val="NormalTok"/>
        </w:rPr>
        <w:t xml:space="preserve"> sales_amount_incl_tax</w:t>
      </w:r>
      <w:r>
        <w:br/>
      </w:r>
      <w:r>
        <w:rPr>
          <w:rStyle w:val="DecValTok"/>
        </w:rPr>
        <w:t xml:space="preserve">12</w:t>
      </w:r>
      <w:r>
        <w:rPr>
          <w:rStyle w:val="NormalTok"/>
        </w:rPr>
        <w:t xml:space="preserve">  </w:t>
      </w:r>
      <w:r>
        <w:rPr>
          <w:rStyle w:val="KeywordTok"/>
        </w:rPr>
        <w:t xml:space="preserve">from</w:t>
      </w:r>
      <w:r>
        <w:rPr>
          <w:rStyle w:val="NormalTok"/>
        </w:rPr>
        <w:t xml:space="preserve"> {{ </w:t>
      </w:r>
      <w:r>
        <w:rPr>
          <w:rStyle w:val="FunctionTok"/>
        </w:rPr>
        <w:t xml:space="preserve">ref</w:t>
      </w:r>
      <w:r>
        <w:rPr>
          <w:rStyle w:val="NormalTok"/>
        </w:rPr>
        <w:t xml:space="preserve">(</w:t>
      </w:r>
      <w:r>
        <w:rPr>
          <w:rStyle w:val="StringTok"/>
        </w:rPr>
        <w:t xml:space="preserve">'stg_order_lines'</w:t>
      </w:r>
      <w:r>
        <w:rPr>
          <w:rStyle w:val="NormalTok"/>
        </w:rPr>
        <w:t xml:space="preserve">) }} ol</w:t>
      </w:r>
      <w:r>
        <w:br/>
      </w:r>
      <w:r>
        <w:rPr>
          <w:rStyle w:val="DecValTok"/>
        </w:rPr>
        <w:t xml:space="preserve">13</w:t>
      </w:r>
      <w:r>
        <w:rPr>
          <w:rStyle w:val="NormalTok"/>
        </w:rPr>
        <w:t xml:space="preserve">  </w:t>
      </w:r>
      <w:r>
        <w:rPr>
          <w:rStyle w:val="KeywordTok"/>
        </w:rPr>
        <w:t xml:space="preserve">join</w:t>
      </w:r>
      <w:r>
        <w:rPr>
          <w:rStyle w:val="NormalTok"/>
        </w:rPr>
        <w:t xml:space="preserve"> {{ </w:t>
      </w:r>
      <w:r>
        <w:rPr>
          <w:rStyle w:val="FunctionTok"/>
        </w:rPr>
        <w:t xml:space="preserve">ref</w:t>
      </w:r>
      <w:r>
        <w:rPr>
          <w:rStyle w:val="NormalTok"/>
        </w:rPr>
        <w:t xml:space="preserve">(</w:t>
      </w:r>
      <w:r>
        <w:rPr>
          <w:rStyle w:val="StringTok"/>
        </w:rPr>
        <w:t xml:space="preserve">'stg_orders'</w:t>
      </w:r>
      <w:r>
        <w:rPr>
          <w:rStyle w:val="NormalTok"/>
        </w:rPr>
        <w:t xml:space="preserve">) }} o </w:t>
      </w:r>
      <w:r>
        <w:rPr>
          <w:rStyle w:val="KeywordTok"/>
        </w:rPr>
        <w:t xml:space="preserve">on</w:t>
      </w:r>
      <w:r>
        <w:rPr>
          <w:rStyle w:val="NormalTok"/>
        </w:rPr>
        <w:t xml:space="preserve"> ol.order_id </w:t>
      </w:r>
      <w:r>
        <w:rPr>
          <w:rStyle w:val="OperatorTok"/>
        </w:rPr>
        <w:t xml:space="preserve">=</w:t>
      </w:r>
      <w:r>
        <w:rPr>
          <w:rStyle w:val="NormalTok"/>
        </w:rPr>
        <w:t xml:space="preserve"> o.order_id</w:t>
      </w:r>
    </w:p>
    <w:bookmarkEnd w:id="74"/>
    <w:p>
      <w:pPr>
        <w:pStyle w:val="FirstParagraph"/>
      </w:pPr>
      <w:r>
        <w:t xml:space="preserve">Le grain est la ligne de commande : la jointure de la ligne 13 rattache chaque ligne à sa commande sans la dupliquer, puisqu’une ligne n’appartient qu’à une commande. Les lignes 6 et 7 renomment les clés pour qu’elles portent le même nom que dans les dimensions, ce qui simplifie les jointures écrites par le modèle de langage. Les montants hors taxes et toutes taxes comprises sont calculés une fois pour toutes (lignes 10 et 11) : aucune requête n’a à refaire ce calcul. La fonction</w:t>
      </w:r>
      <w:r>
        <w:t xml:space="preserve"> </w:t>
      </w:r>
      <w:r>
        <w:rPr>
          <w:rStyle w:val="VerbatimChar"/>
        </w:rPr>
        <w:t xml:space="preserve">ref()</w:t>
      </w:r>
      <w:r>
        <w:t xml:space="preserve"> </w:t>
      </w:r>
      <w:r>
        <w:t xml:space="preserve">désigne un autre modèle dbt, ici deux vues Silver.</w:t>
      </w:r>
    </w:p>
    <w:p>
      <w:pPr>
        <w:pStyle w:val="BodyText"/>
      </w:pPr>
      <w:r>
        <w:t xml:space="preserve">La dimension</w:t>
      </w:r>
      <w:r>
        <w:t xml:space="preserve"> </w:t>
      </w:r>
      <w:r>
        <w:rPr>
          <w:rStyle w:val="VerbatimChar"/>
        </w:rPr>
        <w:t xml:space="preserve">dim_date</w:t>
      </w:r>
      <w:r>
        <w:t xml:space="preserve"> </w:t>
      </w:r>
      <w:r>
        <w:t xml:space="preserve">est générée par la macro</w:t>
      </w:r>
      <w:r>
        <w:t xml:space="preserve"> </w:t>
      </w:r>
      <w:r>
        <w:rPr>
          <w:rStyle w:val="VerbatimChar"/>
        </w:rPr>
        <w:t xml:space="preserve">dbt.date_spine</w:t>
      </w:r>
      <w:r>
        <w:t xml:space="preserve">, qui produit un jour par ligne du 1</w:t>
      </w:r>
      <w:r>
        <w:rPr>
          <w:vertAlign w:val="superscript"/>
        </w:rPr>
        <w:t xml:space="preserve">er</w:t>
      </w:r>
      <w:r>
        <w:t xml:space="preserve"> </w:t>
      </w:r>
      <w:r>
        <w:t xml:space="preserve">janvier 2013 au 31 décembre 2016, soit 1 461 lignes, avec l’année, le trimestre, le mois et le jour.</w:t>
      </w:r>
    </w:p>
    <w:bookmarkEnd w:id="75"/>
    <w:bookmarkStart w:id="80" w:name="tests-de-qualité"/>
    <w:p>
      <w:pPr>
        <w:pStyle w:val="Heading3"/>
      </w:pPr>
      <w:r>
        <w:rPr>
          <w:rStyle w:val="SectionNumber"/>
        </w:rPr>
        <w:t xml:space="preserve">3.3.5</w:t>
      </w:r>
      <w:r>
        <w:tab/>
      </w:r>
      <w:r>
        <w:t xml:space="preserve">Tests de qualité</w:t>
      </w:r>
    </w:p>
    <w:p>
      <w:pPr>
        <w:pStyle w:val="FirstParagraph"/>
      </w:pPr>
      <w:r>
        <w:t xml:space="preserve">Les tests sont déclarés dans les fichiers YAML qui documentent les modèles. Le code 3.7 en montre une partie pour la couche Gold.</w:t>
      </w:r>
    </w:p>
    <w:p>
      <w:pPr>
        <w:pStyle w:val="BodyText"/>
      </w:pPr>
      <w:r>
        <w:rPr>
          <w:bCs/>
          <w:b/>
        </w:rPr>
        <w:t xml:space="preserve">Code 3.7</w:t>
      </w:r>
      <w:r>
        <w:t xml:space="preserve"> – Documentation et tests de fct_sales (models/marts/_marts.yml)</w:t>
      </w:r>
    </w:p>
    <w:bookmarkStart w:id="76" w:name="code:tests"/>
    <w:p>
      <w:pPr>
        <w:pStyle w:val="SourceCode"/>
      </w:pPr>
      <w:r>
        <w:rPr>
          <w:rStyle w:val="AttributeTok"/>
        </w:rPr>
        <w:t xml:space="preserve"> </w:t>
      </w:r>
      <w:r>
        <w:rPr>
          <w:rStyle w:val="FunctionTok"/>
        </w:rPr>
        <w:t xml:space="preserve">1  models</w:t>
      </w:r>
      <w:r>
        <w:rPr>
          <w:rStyle w:val="KeywordTok"/>
        </w:rPr>
        <w:t xml:space="preserve">:</w:t>
      </w:r>
      <w:r>
        <w:br/>
      </w:r>
      <w:r>
        <w:rPr>
          <w:rStyle w:val="AttributeTok"/>
        </w:rPr>
        <w:t xml:space="preserve"> </w:t>
      </w:r>
      <w:r>
        <w:rPr>
          <w:rStyle w:val="FunctionTok"/>
        </w:rPr>
        <w:t xml:space="preserve">2    - name</w:t>
      </w:r>
      <w:r>
        <w:rPr>
          <w:rStyle w:val="KeywordTok"/>
        </w:rPr>
        <w:t xml:space="preserve">:</w:t>
      </w:r>
      <w:r>
        <w:rPr>
          <w:rStyle w:val="AttributeTok"/>
        </w:rPr>
        <w:t xml:space="preserve"> fct_sales</w:t>
      </w:r>
      <w:r>
        <w:br/>
      </w:r>
      <w:r>
        <w:rPr>
          <w:rStyle w:val="AttributeTok"/>
        </w:rPr>
        <w:t xml:space="preserve"> </w:t>
      </w:r>
      <w:r>
        <w:rPr>
          <w:rStyle w:val="FunctionTok"/>
        </w:rPr>
        <w:t xml:space="preserve">3      description</w:t>
      </w:r>
      <w:r>
        <w:rPr>
          <w:rStyle w:val="KeywordTok"/>
        </w:rPr>
        <w:t xml:space="preserve">:</w:t>
      </w:r>
      <w:r>
        <w:rPr>
          <w:rStyle w:val="AttributeTok"/>
        </w:rPr>
        <w:t xml:space="preserve"> </w:t>
      </w:r>
      <w:r>
        <w:rPr>
          <w:rStyle w:val="StringTok"/>
        </w:rPr>
        <w:t xml:space="preserve">"Ventes, une ligne par ligne de commande"</w:t>
      </w:r>
      <w:r>
        <w:br/>
      </w:r>
      <w:r>
        <w:rPr>
          <w:rStyle w:val="AttributeTok"/>
        </w:rPr>
        <w:t xml:space="preserve"> </w:t>
      </w:r>
      <w:r>
        <w:rPr>
          <w:rStyle w:val="FunctionTok"/>
        </w:rPr>
        <w:t xml:space="preserve">4      columns</w:t>
      </w:r>
      <w:r>
        <w:rPr>
          <w:rStyle w:val="KeywordTok"/>
        </w:rPr>
        <w:t xml:space="preserve">:</w:t>
      </w:r>
      <w:r>
        <w:br/>
      </w:r>
      <w:r>
        <w:rPr>
          <w:rStyle w:val="AttributeTok"/>
        </w:rPr>
        <w:t xml:space="preserve"> </w:t>
      </w:r>
      <w:r>
        <w:rPr>
          <w:rStyle w:val="FunctionTok"/>
        </w:rPr>
        <w:t xml:space="preserve">5        - name</w:t>
      </w:r>
      <w:r>
        <w:rPr>
          <w:rStyle w:val="KeywordTok"/>
        </w:rPr>
        <w:t xml:space="preserve">:</w:t>
      </w:r>
      <w:r>
        <w:rPr>
          <w:rStyle w:val="AttributeTok"/>
        </w:rPr>
        <w:t xml:space="preserve"> order_line_id</w:t>
      </w:r>
      <w:r>
        <w:br/>
      </w:r>
      <w:r>
        <w:rPr>
          <w:rStyle w:val="AttributeTok"/>
        </w:rPr>
        <w:t xml:space="preserve"> </w:t>
      </w:r>
      <w:r>
        <w:rPr>
          <w:rStyle w:val="FunctionTok"/>
        </w:rPr>
        <w:t xml:space="preserve">6          data_tests</w:t>
      </w:r>
      <w:r>
        <w:rPr>
          <w:rStyle w:val="KeywordTok"/>
        </w:rPr>
        <w:t xml:space="preserve">:</w:t>
      </w:r>
      <w:r>
        <w:rPr>
          <w:rStyle w:val="AttributeTok"/>
        </w:rPr>
        <w:t xml:space="preserve"> </w:t>
      </w:r>
      <w:r>
        <w:rPr>
          <w:rStyle w:val="KeywordTok"/>
        </w:rPr>
        <w:t xml:space="preserve">[</w:t>
      </w:r>
      <w:r>
        <w:rPr>
          <w:rStyle w:val="AttributeTok"/>
        </w:rPr>
        <w:t xml:space="preserve">unique</w:t>
      </w:r>
      <w:r>
        <w:rPr>
          <w:rStyle w:val="KeywordTok"/>
        </w:rPr>
        <w:t xml:space="preserve">,</w:t>
      </w:r>
      <w:r>
        <w:rPr>
          <w:rStyle w:val="AttributeTok"/>
        </w:rPr>
        <w:t xml:space="preserve"> not_</w:t>
      </w:r>
      <w:r>
        <w:rPr>
          <w:rStyle w:val="CharTok"/>
        </w:rPr>
        <w:t xml:space="preserve">null</w:t>
      </w:r>
      <w:r>
        <w:rPr>
          <w:rStyle w:val="KeywordTok"/>
        </w:rPr>
        <w:t xml:space="preserve">]</w:t>
      </w:r>
      <w:r>
        <w:br/>
      </w:r>
      <w:r>
        <w:rPr>
          <w:rStyle w:val="AttributeTok"/>
        </w:rPr>
        <w:t xml:space="preserve"> </w:t>
      </w:r>
      <w:r>
        <w:rPr>
          <w:rStyle w:val="FunctionTok"/>
        </w:rPr>
        <w:t xml:space="preserve">7        - name</w:t>
      </w:r>
      <w:r>
        <w:rPr>
          <w:rStyle w:val="KeywordTok"/>
        </w:rPr>
        <w:t xml:space="preserve">:</w:t>
      </w:r>
      <w:r>
        <w:rPr>
          <w:rStyle w:val="AttributeTok"/>
        </w:rPr>
        <w:t xml:space="preserve"> sales_amount_excl_tax</w:t>
      </w:r>
      <w:r>
        <w:br/>
      </w:r>
      <w:r>
        <w:rPr>
          <w:rStyle w:val="AttributeTok"/>
        </w:rPr>
        <w:t xml:space="preserve"> </w:t>
      </w:r>
      <w:r>
        <w:rPr>
          <w:rStyle w:val="FunctionTok"/>
        </w:rPr>
        <w:t xml:space="preserve">8          description</w:t>
      </w:r>
      <w:r>
        <w:rPr>
          <w:rStyle w:val="KeywordTok"/>
        </w:rPr>
        <w:t xml:space="preserve">:</w:t>
      </w:r>
      <w:r>
        <w:rPr>
          <w:rStyle w:val="AttributeTok"/>
        </w:rPr>
        <w:t xml:space="preserve"> </w:t>
      </w:r>
      <w:r>
        <w:rPr>
          <w:rStyle w:val="StringTok"/>
        </w:rPr>
        <w:t xml:space="preserve">"Chiffre d'affaires HT = quantity * unit_price"</w:t>
      </w:r>
      <w:r>
        <w:br/>
      </w:r>
      <w:r>
        <w:rPr>
          <w:rStyle w:val="AttributeTok"/>
        </w:rPr>
        <w:t xml:space="preserve"> </w:t>
      </w:r>
      <w:r>
        <w:rPr>
          <w:rStyle w:val="FunctionTok"/>
        </w:rPr>
        <w:t xml:space="preserve">9        - name</w:t>
      </w:r>
      <w:r>
        <w:rPr>
          <w:rStyle w:val="KeywordTok"/>
        </w:rPr>
        <w:t xml:space="preserve">:</w:t>
      </w:r>
      <w:r>
        <w:rPr>
          <w:rStyle w:val="AttributeTok"/>
        </w:rPr>
        <w:t xml:space="preserve"> product_id</w:t>
      </w:r>
      <w:r>
        <w:br/>
      </w:r>
      <w:r>
        <w:rPr>
          <w:rStyle w:val="FunctionTok"/>
        </w:rPr>
        <w:t xml:space="preserve">10          data_tests</w:t>
      </w:r>
      <w:r>
        <w:rPr>
          <w:rStyle w:val="KeywordTok"/>
        </w:rPr>
        <w:t xml:space="preserve">:</w:t>
      </w:r>
      <w:r>
        <w:br/>
      </w:r>
      <w:r>
        <w:rPr>
          <w:rStyle w:val="FunctionTok"/>
        </w:rPr>
        <w:t xml:space="preserve">11            - relationships</w:t>
      </w:r>
      <w:r>
        <w:rPr>
          <w:rStyle w:val="KeywordTok"/>
        </w:rPr>
        <w:t xml:space="preserve">:</w:t>
      </w:r>
      <w:r>
        <w:br/>
      </w:r>
      <w:r>
        <w:rPr>
          <w:rStyle w:val="FunctionTok"/>
        </w:rPr>
        <w:t xml:space="preserve">12                arguments</w:t>
      </w:r>
      <w:r>
        <w:rPr>
          <w:rStyle w:val="KeywordTok"/>
        </w:rPr>
        <w:t xml:space="preserve">:</w:t>
      </w:r>
      <w:r>
        <w:rPr>
          <w:rStyle w:val="AttributeTok"/>
        </w:rPr>
        <w:t xml:space="preserve"> </w:t>
      </w:r>
      <w:r>
        <w:rPr>
          <w:rStyle w:val="KeywordTok"/>
        </w:rPr>
        <w:t xml:space="preserve">{</w:t>
      </w:r>
      <w:r>
        <w:rPr>
          <w:rStyle w:val="FunctionTok"/>
        </w:rPr>
        <w:t xml:space="preserve">to</w:t>
      </w:r>
      <w:r>
        <w:rPr>
          <w:rStyle w:val="KeywordTok"/>
        </w:rPr>
        <w:t xml:space="preserve">:</w:t>
      </w:r>
      <w:r>
        <w:rPr>
          <w:rStyle w:val="AttributeTok"/>
        </w:rPr>
        <w:t xml:space="preserve"> ref('dim_products')</w:t>
      </w:r>
      <w:r>
        <w:rPr>
          <w:rStyle w:val="KeywordTok"/>
        </w:rPr>
        <w:t xml:space="preserve">,</w:t>
      </w:r>
      <w:r>
        <w:rPr>
          <w:rStyle w:val="AttributeTok"/>
        </w:rPr>
        <w:t xml:space="preserve"> </w:t>
      </w:r>
      <w:r>
        <w:rPr>
          <w:rStyle w:val="FunctionTok"/>
        </w:rPr>
        <w:t xml:space="preserve">field</w:t>
      </w:r>
      <w:r>
        <w:rPr>
          <w:rStyle w:val="KeywordTok"/>
        </w:rPr>
        <w:t xml:space="preserve">:</w:t>
      </w:r>
      <w:r>
        <w:rPr>
          <w:rStyle w:val="AttributeTok"/>
        </w:rPr>
        <w:t xml:space="preserve"> product_id</w:t>
      </w:r>
      <w:r>
        <w:rPr>
          <w:rStyle w:val="KeywordTok"/>
        </w:rPr>
        <w:t xml:space="preserve">}</w:t>
      </w:r>
      <w:r>
        <w:br/>
      </w:r>
      <w:r>
        <w:rPr>
          <w:rStyle w:val="FunctionTok"/>
        </w:rPr>
        <w:t xml:space="preserve">13        - name</w:t>
      </w:r>
      <w:r>
        <w:rPr>
          <w:rStyle w:val="KeywordTok"/>
        </w:rPr>
        <w:t xml:space="preserve">:</w:t>
      </w:r>
      <w:r>
        <w:rPr>
          <w:rStyle w:val="AttributeTok"/>
        </w:rPr>
        <w:t xml:space="preserve"> customer_id</w:t>
      </w:r>
      <w:r>
        <w:br/>
      </w:r>
      <w:r>
        <w:rPr>
          <w:rStyle w:val="FunctionTok"/>
        </w:rPr>
        <w:t xml:space="preserve">14          data_tests</w:t>
      </w:r>
      <w:r>
        <w:rPr>
          <w:rStyle w:val="KeywordTok"/>
        </w:rPr>
        <w:t xml:space="preserve">:</w:t>
      </w:r>
      <w:r>
        <w:br/>
      </w:r>
      <w:r>
        <w:rPr>
          <w:rStyle w:val="FunctionTok"/>
        </w:rPr>
        <w:t xml:space="preserve">15            - relationships</w:t>
      </w:r>
      <w:r>
        <w:rPr>
          <w:rStyle w:val="KeywordTok"/>
        </w:rPr>
        <w:t xml:space="preserve">:</w:t>
      </w:r>
      <w:r>
        <w:br/>
      </w:r>
      <w:r>
        <w:rPr>
          <w:rStyle w:val="FunctionTok"/>
        </w:rPr>
        <w:t xml:space="preserve">16                arguments</w:t>
      </w:r>
      <w:r>
        <w:rPr>
          <w:rStyle w:val="KeywordTok"/>
        </w:rPr>
        <w:t xml:space="preserve">:</w:t>
      </w:r>
      <w:r>
        <w:rPr>
          <w:rStyle w:val="AttributeTok"/>
        </w:rPr>
        <w:t xml:space="preserve"> </w:t>
      </w:r>
      <w:r>
        <w:rPr>
          <w:rStyle w:val="KeywordTok"/>
        </w:rPr>
        <w:t xml:space="preserve">{</w:t>
      </w:r>
      <w:r>
        <w:rPr>
          <w:rStyle w:val="FunctionTok"/>
        </w:rPr>
        <w:t xml:space="preserve">to</w:t>
      </w:r>
      <w:r>
        <w:rPr>
          <w:rStyle w:val="KeywordTok"/>
        </w:rPr>
        <w:t xml:space="preserve">:</w:t>
      </w:r>
      <w:r>
        <w:rPr>
          <w:rStyle w:val="AttributeTok"/>
        </w:rPr>
        <w:t xml:space="preserve"> ref('dim_customers')</w:t>
      </w:r>
      <w:r>
        <w:rPr>
          <w:rStyle w:val="KeywordTok"/>
        </w:rPr>
        <w:t xml:space="preserve">,</w:t>
      </w:r>
      <w:r>
        <w:rPr>
          <w:rStyle w:val="AttributeTok"/>
        </w:rPr>
        <w:t xml:space="preserve"> </w:t>
      </w:r>
      <w:r>
        <w:rPr>
          <w:rStyle w:val="FunctionTok"/>
        </w:rPr>
        <w:t xml:space="preserve">field</w:t>
      </w:r>
      <w:r>
        <w:rPr>
          <w:rStyle w:val="KeywordTok"/>
        </w:rPr>
        <w:t xml:space="preserve">:</w:t>
      </w:r>
      <w:r>
        <w:rPr>
          <w:rStyle w:val="AttributeTok"/>
        </w:rPr>
        <w:t xml:space="preserve"> customer_id</w:t>
      </w:r>
      <w:r>
        <w:rPr>
          <w:rStyle w:val="KeywordTok"/>
        </w:rPr>
        <w:t xml:space="preserve">}</w:t>
      </w:r>
    </w:p>
    <w:bookmarkEnd w:id="76"/>
    <w:p>
      <w:pPr>
        <w:pStyle w:val="FirstParagraph"/>
      </w:pPr>
      <w:r>
        <w:t xml:space="preserve">Le test de la ligne 6 vérifie le grain : si une jointure dupliquait des lignes de commande,</w:t>
      </w:r>
      <w:r>
        <w:t xml:space="preserve"> </w:t>
      </w:r>
      <w:r>
        <w:rPr>
          <w:rStyle w:val="VerbatimChar"/>
        </w:rPr>
        <w:t xml:space="preserve">unique</w:t>
      </w:r>
      <w:r>
        <w:t xml:space="preserve"> </w:t>
      </w:r>
      <w:r>
        <w:t xml:space="preserve">échouerait. Les tests</w:t>
      </w:r>
      <w:r>
        <w:t xml:space="preserve"> </w:t>
      </w:r>
      <w:r>
        <w:rPr>
          <w:rStyle w:val="VerbatimChar"/>
        </w:rPr>
        <w:t xml:space="preserve">relationships</w:t>
      </w:r>
      <w:r>
        <w:t xml:space="preserve"> </w:t>
      </w:r>
      <w:r>
        <w:t xml:space="preserve">(lignes 11 et 15) vérifient que chaque vente renvoie à un produit et à un client existants ; une vente orpheline disparaîtrait sinon silencieusement des analyses qui joignent les dimensions. Le projet compte dix-huit tests au total, répartis entre les couches Silver et Gold. La commande</w:t>
      </w:r>
      <w:r>
        <w:t xml:space="preserve"> </w:t>
      </w:r>
      <w:r>
        <w:rPr>
          <w:rStyle w:val="VerbatimChar"/>
        </w:rPr>
        <w:t xml:space="preserve">dbt build</w:t>
      </w:r>
      <w:r>
        <w:t xml:space="preserve"> </w:t>
      </w:r>
      <w:r>
        <w:t xml:space="preserve">exécute les treize modèles et ces tests dans l’ordre du graphe, soit 31 nœuds ; un modèle n’est construit que si les tests des modèles dont il dépend ont réussi.</w:t>
      </w:r>
    </w:p>
    <w:p>
      <w:pPr>
        <w:pStyle w:val="BodyText"/>
      </w:pPr>
      <w:r>
        <w:t xml:space="preserve">La figure 3.6 présente le graphe de dépendances généré par dbt.</w:t>
      </w:r>
    </w:p>
    <w:p>
      <w:pPr>
        <w:pStyle w:val="CaptionedFigure"/>
      </w:pPr>
      <w:r>
        <w:drawing>
          <wp:inline>
            <wp:extent cx="5753100" cy="3595687"/>
            <wp:effectExtent b="0" l="0" r="0" t="0"/>
            <wp:docPr descr="Lignage des modèles dbt, des sources Bronze aux tables Gold" title="" id="78" name="Picture"/>
            <a:graphic>
              <a:graphicData uri="http://schemas.openxmlformats.org/drawingml/2006/picture">
                <pic:pic>
                  <pic:nvPicPr>
                    <pic:cNvPr descr="figures/dbt_lineage.png" id="79" name="Picture"/>
                    <pic:cNvPicPr>
                      <a:picLocks noChangeArrowheads="1" noChangeAspect="1"/>
                    </pic:cNvPicPr>
                  </pic:nvPicPr>
                  <pic:blipFill>
                    <a:blip r:embed="rId77"/>
                    <a:stretch>
                      <a:fillRect/>
                    </a:stretch>
                  </pic:blipFill>
                  <pic:spPr bwMode="auto">
                    <a:xfrm>
                      <a:off x="0" y="0"/>
                      <a:ext cx="5753100" cy="3595687"/>
                    </a:xfrm>
                    <a:prstGeom prst="rect">
                      <a:avLst/>
                    </a:prstGeom>
                    <a:noFill/>
                    <a:ln w="9525">
                      <a:noFill/>
                      <a:headEnd/>
                      <a:tailEnd/>
                    </a:ln>
                  </pic:spPr>
                </pic:pic>
              </a:graphicData>
            </a:graphic>
          </wp:inline>
        </w:drawing>
      </w:r>
    </w:p>
    <w:p>
      <w:pPr>
        <w:pStyle w:val="ImageCaption"/>
      </w:pPr>
      <w:r>
        <w:rPr>
          <w:bCs/>
          <w:b/>
        </w:rPr>
        <w:t xml:space="preserve">Figure 3.6</w:t>
      </w:r>
      <w:r>
        <w:t xml:space="preserve"> – Lignage des modèles dbt, des sources Bronze aux tables Gold</w:t>
      </w:r>
    </w:p>
    <w:bookmarkEnd w:id="80"/>
    <w:bookmarkEnd w:id="81"/>
    <w:bookmarkStart w:id="102" w:name="orchestration-avec-dagster"/>
    <w:p>
      <w:pPr>
        <w:pStyle w:val="Heading2"/>
      </w:pPr>
      <w:r>
        <w:rPr>
          <w:rStyle w:val="SectionNumber"/>
        </w:rPr>
        <w:t xml:space="preserve">3.4</w:t>
      </w:r>
      <w:r>
        <w:tab/>
      </w:r>
      <w:r>
        <w:t xml:space="preserve">Orchestration avec Dagster</w:t>
      </w:r>
    </w:p>
    <w:bookmarkStart w:id="86" w:name="déclaration-des-composants"/>
    <w:p>
      <w:pPr>
        <w:pStyle w:val="Heading3"/>
      </w:pPr>
      <w:r>
        <w:rPr>
          <w:rStyle w:val="SectionNumber"/>
        </w:rPr>
        <w:t xml:space="preserve">3.4.1</w:t>
      </w:r>
      <w:r>
        <w:tab/>
      </w:r>
      <w:r>
        <w:t xml:space="preserve">Déclaration des composants</w:t>
      </w:r>
    </w:p>
    <w:p>
      <w:pPr>
        <w:pStyle w:val="FirstParagraph"/>
      </w:pPr>
      <w:r>
        <w:t xml:space="preserve">Les deux composants sont déclarés en YAML ; aucun code Python n’est nécessaire pour les charger.</w:t>
      </w:r>
    </w:p>
    <w:p>
      <w:pPr>
        <w:pStyle w:val="BodyText"/>
      </w:pPr>
      <w:r>
        <w:rPr>
          <w:bCs/>
          <w:b/>
        </w:rPr>
        <w:t xml:space="preserve">Code 3.8</w:t>
      </w:r>
      <w:r>
        <w:t xml:space="preserve"> – Déclaration des composants DLT et dbt (fichiers defs.yaml)</w:t>
      </w:r>
    </w:p>
    <w:bookmarkStart w:id="82" w:name="code:defs"/>
    <w:p>
      <w:pPr>
        <w:pStyle w:val="SourceCode"/>
      </w:pPr>
      <w:r>
        <w:rPr>
          <w:rStyle w:val="AttributeTok"/>
        </w:rPr>
        <w:t xml:space="preserve"> </w:t>
      </w:r>
      <w:r>
        <w:rPr>
          <w:rStyle w:val="DecValTok"/>
        </w:rPr>
        <w:t xml:space="preserve">1</w:t>
      </w:r>
      <w:r>
        <w:rPr>
          <w:rStyle w:val="CommentTok"/>
        </w:rPr>
        <w:t xml:space="preserve">  # defs/mssql_ingestion/defs.yaml</w:t>
      </w:r>
      <w:r>
        <w:br/>
      </w:r>
      <w:r>
        <w:rPr>
          <w:rStyle w:val="AttributeTok"/>
        </w:rPr>
        <w:t xml:space="preserve"> </w:t>
      </w:r>
      <w:r>
        <w:rPr>
          <w:rStyle w:val="FunctionTok"/>
        </w:rPr>
        <w:t xml:space="preserve">2  type</w:t>
      </w:r>
      <w:r>
        <w:rPr>
          <w:rStyle w:val="KeywordTok"/>
        </w:rPr>
        <w:t xml:space="preserve">:</w:t>
      </w:r>
      <w:r>
        <w:rPr>
          <w:rStyle w:val="AttributeTok"/>
        </w:rPr>
        <w:t xml:space="preserve"> dagster_dlt.DltLoadCollectionComponent</w:t>
      </w:r>
      <w:r>
        <w:br/>
      </w:r>
      <w:r>
        <w:rPr>
          <w:rStyle w:val="AttributeTok"/>
        </w:rPr>
        <w:t xml:space="preserve"> </w:t>
      </w:r>
      <w:r>
        <w:rPr>
          <w:rStyle w:val="FunctionTok"/>
        </w:rPr>
        <w:t xml:space="preserve">3  attributes</w:t>
      </w:r>
      <w:r>
        <w:rPr>
          <w:rStyle w:val="KeywordTok"/>
        </w:rPr>
        <w:t xml:space="preserve">:</w:t>
      </w:r>
      <w:r>
        <w:br/>
      </w:r>
      <w:r>
        <w:rPr>
          <w:rStyle w:val="AttributeTok"/>
        </w:rPr>
        <w:t xml:space="preserve"> </w:t>
      </w:r>
      <w:r>
        <w:rPr>
          <w:rStyle w:val="FunctionTok"/>
        </w:rPr>
        <w:t xml:space="preserve">4    loads</w:t>
      </w:r>
      <w:r>
        <w:rPr>
          <w:rStyle w:val="KeywordTok"/>
        </w:rPr>
        <w:t xml:space="preserve">:</w:t>
      </w:r>
      <w:r>
        <w:br/>
      </w:r>
      <w:r>
        <w:rPr>
          <w:rStyle w:val="AttributeTok"/>
        </w:rPr>
        <w:t xml:space="preserve"> </w:t>
      </w:r>
      <w:r>
        <w:rPr>
          <w:rStyle w:val="FunctionTok"/>
        </w:rPr>
        <w:t xml:space="preserve">5      - source</w:t>
      </w:r>
      <w:r>
        <w:rPr>
          <w:rStyle w:val="KeywordTok"/>
        </w:rPr>
        <w:t xml:space="preserve">:</w:t>
      </w:r>
      <w:r>
        <w:rPr>
          <w:rStyle w:val="AttributeTok"/>
        </w:rPr>
        <w:t xml:space="preserve"> .loads.mssql_source</w:t>
      </w:r>
      <w:r>
        <w:br/>
      </w:r>
      <w:r>
        <w:rPr>
          <w:rStyle w:val="AttributeTok"/>
        </w:rPr>
        <w:t xml:space="preserve"> </w:t>
      </w:r>
      <w:r>
        <w:rPr>
          <w:rStyle w:val="FunctionTok"/>
        </w:rPr>
        <w:t xml:space="preserve">6        pipeline</w:t>
      </w:r>
      <w:r>
        <w:rPr>
          <w:rStyle w:val="KeywordTok"/>
        </w:rPr>
        <w:t xml:space="preserve">:</w:t>
      </w:r>
      <w:r>
        <w:rPr>
          <w:rStyle w:val="AttributeTok"/>
        </w:rPr>
        <w:t xml:space="preserve"> .loads.mssql_pipeline</w:t>
      </w:r>
      <w:r>
        <w:br/>
      </w:r>
      <w:r>
        <w:rPr>
          <w:rStyle w:val="AttributeTok"/>
        </w:rPr>
        <w:t xml:space="preserve"> </w:t>
      </w:r>
      <w:r>
        <w:rPr>
          <w:rStyle w:val="DecValTok"/>
        </w:rPr>
        <w:t xml:space="preserve">7</w:t>
      </w:r>
      <w:r>
        <w:rPr>
          <w:rStyle w:val="AttributeTok"/>
        </w:rPr>
        <w:t xml:space="preserve">  </w:t>
      </w:r>
      <w:r>
        <w:br/>
      </w:r>
      <w:r>
        <w:rPr>
          <w:rStyle w:val="AttributeTok"/>
        </w:rPr>
        <w:t xml:space="preserve"> </w:t>
      </w:r>
      <w:r>
        <w:rPr>
          <w:rStyle w:val="DecValTok"/>
        </w:rPr>
        <w:t xml:space="preserve">8</w:t>
      </w:r>
      <w:r>
        <w:rPr>
          <w:rStyle w:val="CommentTok"/>
        </w:rPr>
        <w:t xml:space="preserve">  # defs/transform/defs.yaml</w:t>
      </w:r>
      <w:r>
        <w:br/>
      </w:r>
      <w:r>
        <w:rPr>
          <w:rStyle w:val="AttributeTok"/>
        </w:rPr>
        <w:t xml:space="preserve"> </w:t>
      </w:r>
      <w:r>
        <w:rPr>
          <w:rStyle w:val="FunctionTok"/>
        </w:rPr>
        <w:t xml:space="preserve">9  type</w:t>
      </w:r>
      <w:r>
        <w:rPr>
          <w:rStyle w:val="KeywordTok"/>
        </w:rPr>
        <w:t xml:space="preserve">:</w:t>
      </w:r>
      <w:r>
        <w:rPr>
          <w:rStyle w:val="AttributeTok"/>
        </w:rPr>
        <w:t xml:space="preserve"> dagster_dbt.DbtProjectComponent</w:t>
      </w:r>
      <w:r>
        <w:br/>
      </w:r>
      <w:r>
        <w:rPr>
          <w:rStyle w:val="FunctionTok"/>
        </w:rPr>
        <w:t xml:space="preserve">10  attributes</w:t>
      </w:r>
      <w:r>
        <w:rPr>
          <w:rStyle w:val="KeywordTok"/>
        </w:rPr>
        <w:t xml:space="preserve">:</w:t>
      </w:r>
      <w:r>
        <w:br/>
      </w:r>
      <w:r>
        <w:rPr>
          <w:rStyle w:val="FunctionTok"/>
        </w:rPr>
        <w:t xml:space="preserve">11    project</w:t>
      </w:r>
      <w:r>
        <w:rPr>
          <w:rStyle w:val="KeywordTok"/>
        </w:rPr>
        <w:t xml:space="preserve">:</w:t>
      </w:r>
      <w:r>
        <w:br/>
      </w:r>
      <w:r>
        <w:rPr>
          <w:rStyle w:val="FunctionTok"/>
        </w:rPr>
        <w:t xml:space="preserve">12      project_dir</w:t>
      </w:r>
      <w:r>
        <w:rPr>
          <w:rStyle w:val="KeywordTok"/>
        </w:rPr>
        <w:t xml:space="preserve">:</w:t>
      </w:r>
      <w:r>
        <w:rPr>
          <w:rStyle w:val="AttributeTok"/>
        </w:rPr>
        <w:t xml:space="preserve"> </w:t>
      </w:r>
      <w:r>
        <w:rPr>
          <w:rStyle w:val="StringTok"/>
        </w:rPr>
        <w:t xml:space="preserve">"{{ context.project_root }}/src/projet_final_pratique_bi/defs/transform"</w:t>
      </w:r>
      <w:r>
        <w:br/>
      </w:r>
      <w:r>
        <w:rPr>
          <w:rStyle w:val="FunctionTok"/>
        </w:rPr>
        <w:t xml:space="preserve">13      profiles_dir</w:t>
      </w:r>
      <w:r>
        <w:rPr>
          <w:rStyle w:val="KeywordTok"/>
        </w:rPr>
        <w:t xml:space="preserve">:</w:t>
      </w:r>
      <w:r>
        <w:rPr>
          <w:rStyle w:val="AttributeTok"/>
        </w:rPr>
        <w:t xml:space="preserve"> </w:t>
      </w:r>
      <w:r>
        <w:rPr>
          <w:rStyle w:val="StringTok"/>
        </w:rPr>
        <w:t xml:space="preserve">"{{ context.project_root }}/src/projet_final_pratique_bi/defs/transform"</w:t>
      </w:r>
      <w:r>
        <w:br/>
      </w:r>
      <w:r>
        <w:rPr>
          <w:rStyle w:val="FunctionTok"/>
        </w:rPr>
        <w:t xml:space="preserve">14    cli_args</w:t>
      </w:r>
      <w:r>
        <w:rPr>
          <w:rStyle w:val="KeywordTok"/>
        </w:rPr>
        <w:t xml:space="preserve">:</w:t>
      </w:r>
      <w:r>
        <w:br/>
      </w:r>
      <w:r>
        <w:rPr>
          <w:rStyle w:val="AttributeTok"/>
        </w:rPr>
        <w:t xml:space="preserve">15      - build</w:t>
      </w:r>
    </w:p>
    <w:bookmarkEnd w:id="82"/>
    <w:p>
      <w:pPr>
        <w:pStyle w:val="FirstParagraph"/>
      </w:pPr>
      <w:r>
        <w:t xml:space="preserve">Le composant DLT pointe vers la source et le pipeline définis dans</w:t>
      </w:r>
      <w:r>
        <w:t xml:space="preserve"> </w:t>
      </w:r>
      <w:r>
        <w:rPr>
          <w:rStyle w:val="VerbatimChar"/>
        </w:rPr>
        <w:t xml:space="preserve">loads.py</w:t>
      </w:r>
      <w:r>
        <w:t xml:space="preserve"> </w:t>
      </w:r>
      <w:r>
        <w:t xml:space="preserve">(lignes 5 et 6) ; chaque ressource de la source devient un actif Dagster. Le composant dbt lit le projet et transforme chaque modèle, source et test en actif ou en contrôle (</w:t>
      </w:r>
      <w:r>
        <w:rPr>
          <w:iCs/>
          <w:i/>
        </w:rPr>
        <w:t xml:space="preserve">asset check</w:t>
      </w:r>
      <w:r>
        <w:t xml:space="preserve">). L’argument</w:t>
      </w:r>
      <w:r>
        <w:t xml:space="preserve"> </w:t>
      </w:r>
      <w:r>
        <w:rPr>
          <w:rStyle w:val="VerbatimChar"/>
        </w:rPr>
        <w:t xml:space="preserve">build</w:t>
      </w:r>
      <w:r>
        <w:t xml:space="preserve"> </w:t>
      </w:r>
      <w:r>
        <w:t xml:space="preserve">(ligne 15) fait exécuter les tests en même temps que les modèles.</w:t>
      </w:r>
    </w:p>
    <w:p>
      <w:pPr>
        <w:pStyle w:val="BodyText"/>
      </w:pPr>
      <w:r>
        <w:t xml:space="preserve">Une erreur nous a coûté du temps à cette étape : le fichier s’appelait d’abord</w:t>
      </w:r>
      <w:r>
        <w:t xml:space="preserve"> </w:t>
      </w:r>
      <w:r>
        <w:rPr>
          <w:rStyle w:val="VerbatimChar"/>
        </w:rPr>
        <w:t xml:space="preserve">defs.yml</w:t>
      </w:r>
      <w:r>
        <w:t xml:space="preserve">. Dagster n’accepte que l’extension</w:t>
      </w:r>
      <w:r>
        <w:t xml:space="preserve"> </w:t>
      </w:r>
      <w:r>
        <w:rPr>
          <w:rStyle w:val="VerbatimChar"/>
        </w:rPr>
        <w:t xml:space="preserve">.yaml</w:t>
      </w:r>
      <w:r>
        <w:t xml:space="preserve"> </w:t>
      </w:r>
      <w:r>
        <w:t xml:space="preserve">et ignore l’autre sans message d’erreur ; l’étape dbt n’apparaissait donc pas. La commande</w:t>
      </w:r>
      <w:r>
        <w:t xml:space="preserve"> </w:t>
      </w:r>
      <w:r>
        <w:rPr>
          <w:rStyle w:val="VerbatimChar"/>
        </w:rPr>
        <w:t xml:space="preserve">dg list defs</w:t>
      </w:r>
      <w:r>
        <w:t xml:space="preserve"> </w:t>
      </w:r>
      <w:r>
        <w:t xml:space="preserve">permet de vérifier ce qui est réellement chargé (figure 3.7).</w:t>
      </w:r>
    </w:p>
    <w:p>
      <w:pPr>
        <w:pStyle w:val="CaptionedFigure"/>
      </w:pPr>
      <w:r>
        <w:drawing>
          <wp:inline>
            <wp:extent cx="4602480" cy="3707234"/>
            <wp:effectExtent b="0" l="0" r="0" t="0"/>
            <wp:docPr descr="Actifs et définitions chargés, vérifiés avec dg list defs" title="" id="84" name="Picture"/>
            <a:graphic>
              <a:graphicData uri="http://schemas.openxmlformats.org/drawingml/2006/picture">
                <pic:pic>
                  <pic:nvPicPr>
                    <pic:cNvPr descr="../../captures/Capture7.png" id="85" name="Picture"/>
                    <pic:cNvPicPr>
                      <a:picLocks noChangeArrowheads="1" noChangeAspect="1"/>
                    </pic:cNvPicPr>
                  </pic:nvPicPr>
                  <pic:blipFill>
                    <a:blip r:embed="rId83"/>
                    <a:stretch>
                      <a:fillRect/>
                    </a:stretch>
                  </pic:blipFill>
                  <pic:spPr bwMode="auto">
                    <a:xfrm>
                      <a:off x="0" y="0"/>
                      <a:ext cx="4602480" cy="3707234"/>
                    </a:xfrm>
                    <a:prstGeom prst="rect">
                      <a:avLst/>
                    </a:prstGeom>
                    <a:noFill/>
                    <a:ln w="9525">
                      <a:noFill/>
                      <a:headEnd/>
                      <a:tailEnd/>
                    </a:ln>
                  </pic:spPr>
                </pic:pic>
              </a:graphicData>
            </a:graphic>
          </wp:inline>
        </w:drawing>
      </w:r>
    </w:p>
    <w:p>
      <w:pPr>
        <w:pStyle w:val="ImageCaption"/>
      </w:pPr>
      <w:r>
        <w:rPr>
          <w:bCs/>
          <w:b/>
        </w:rPr>
        <w:t xml:space="preserve">Figure 3.7</w:t>
      </w:r>
      <w:r>
        <w:t xml:space="preserve"> – Actifs et définitions chargés, vérifiés avec</w:t>
      </w:r>
      <w:r>
        <w:t xml:space="preserve"> </w:t>
      </w:r>
      <w:r>
        <w:rPr>
          <w:rStyle w:val="VerbatimChar"/>
        </w:rPr>
        <w:t xml:space="preserve">dg list defs</w:t>
      </w:r>
    </w:p>
    <w:bookmarkEnd w:id="86"/>
    <w:bookmarkStart w:id="88" w:name="planification"/>
    <w:p>
      <w:pPr>
        <w:pStyle w:val="Heading3"/>
      </w:pPr>
      <w:r>
        <w:rPr>
          <w:rStyle w:val="SectionNumber"/>
        </w:rPr>
        <w:t xml:space="preserve">3.4.2</w:t>
      </w:r>
      <w:r>
        <w:tab/>
      </w:r>
      <w:r>
        <w:t xml:space="preserve">Planification</w:t>
      </w:r>
    </w:p>
    <w:p>
      <w:pPr>
        <w:pStyle w:val="FirstParagraph"/>
      </w:pPr>
      <w:r>
        <w:rPr>
          <w:bCs/>
          <w:b/>
        </w:rPr>
        <w:t xml:space="preserve">Code 3.9</w:t>
      </w:r>
      <w:r>
        <w:t xml:space="preserve"> – Job complet et planification quotidienne (defs/schedules.py)</w:t>
      </w:r>
    </w:p>
    <w:bookmarkStart w:id="87" w:name="code:schedule"/>
    <w:p>
      <w:pPr>
        <w:pStyle w:val="SourceCode"/>
      </w:pPr>
      <w:r>
        <w:rPr>
          <w:rStyle w:val="DecValTok"/>
        </w:rPr>
        <w:t xml:space="preserve">1</w:t>
      </w:r>
      <w:r>
        <w:rPr>
          <w:rStyle w:val="NormalTok"/>
        </w:rPr>
        <w:t xml:space="preserve">  </w:t>
      </w:r>
      <w:r>
        <w:rPr>
          <w:rStyle w:val="ImportTok"/>
        </w:rPr>
        <w:t xml:space="preserve">import</w:t>
      </w:r>
      <w:r>
        <w:rPr>
          <w:rStyle w:val="NormalTok"/>
        </w:rPr>
        <w:t xml:space="preserve"> dagster </w:t>
      </w:r>
      <w:r>
        <w:rPr>
          <w:rStyle w:val="ImportTok"/>
        </w:rPr>
        <w:t xml:space="preserve">as</w:t>
      </w:r>
      <w:r>
        <w:rPr>
          <w:rStyle w:val="NormalTok"/>
        </w:rPr>
        <w:t xml:space="preserve"> dg</w:t>
      </w:r>
      <w:r>
        <w:br/>
      </w:r>
      <w:r>
        <w:rPr>
          <w:rStyle w:val="DecValTok"/>
        </w:rPr>
        <w:t xml:space="preserve">2</w:t>
      </w:r>
      <w:r>
        <w:rPr>
          <w:rStyle w:val="NormalTok"/>
        </w:rPr>
        <w:t xml:space="preserve">  </w:t>
      </w:r>
      <w:r>
        <w:br/>
      </w:r>
      <w:r>
        <w:rPr>
          <w:rStyle w:val="DecValTok"/>
        </w:rPr>
        <w:t xml:space="preserve">3</w:t>
      </w:r>
      <w:r>
        <w:rPr>
          <w:rStyle w:val="NormalTok"/>
        </w:rPr>
        <w:t xml:space="preserve">  pipeline_complet </w:t>
      </w:r>
      <w:r>
        <w:rPr>
          <w:rStyle w:val="OperatorTok"/>
        </w:rPr>
        <w:t xml:space="preserve">=</w:t>
      </w:r>
      <w:r>
        <w:rPr>
          <w:rStyle w:val="NormalTok"/>
        </w:rPr>
        <w:t xml:space="preserve"> dg.define_asset_job(name</w:t>
      </w:r>
      <w:r>
        <w:rPr>
          <w:rStyle w:val="OperatorTok"/>
        </w:rPr>
        <w:t xml:space="preserve">=</w:t>
      </w:r>
      <w:r>
        <w:rPr>
          <w:rStyle w:val="StringTok"/>
        </w:rPr>
        <w:t xml:space="preserve">"pipeline_complet"</w:t>
      </w:r>
      <w:r>
        <w:rPr>
          <w:rStyle w:val="NormalTok"/>
        </w:rPr>
        <w:t xml:space="preserve">, selection</w:t>
      </w:r>
      <w:r>
        <w:rPr>
          <w:rStyle w:val="OperatorTok"/>
        </w:rPr>
        <w:t xml:space="preserve">=</w:t>
      </w:r>
      <w:r>
        <w:rPr>
          <w:rStyle w:val="StringTok"/>
        </w:rPr>
        <w:t xml:space="preserve">"*"</w:t>
      </w:r>
      <w:r>
        <w:rPr>
          <w:rStyle w:val="NormalTok"/>
        </w:rPr>
        <w:t xml:space="preserve">)</w:t>
      </w:r>
      <w:r>
        <w:br/>
      </w:r>
      <w:r>
        <w:rPr>
          <w:rStyle w:val="DecValTok"/>
        </w:rPr>
        <w:t xml:space="preserve">4</w:t>
      </w:r>
      <w:r>
        <w:rPr>
          <w:rStyle w:val="NormalTok"/>
        </w:rPr>
        <w:t xml:space="preserve">  </w:t>
      </w:r>
      <w:r>
        <w:br/>
      </w:r>
      <w:r>
        <w:rPr>
          <w:rStyle w:val="DecValTok"/>
        </w:rPr>
        <w:t xml:space="preserve">5</w:t>
      </w:r>
      <w:r>
        <w:rPr>
          <w:rStyle w:val="NormalTok"/>
        </w:rPr>
        <w:t xml:space="preserve">  schedule_quotidien </w:t>
      </w:r>
      <w:r>
        <w:rPr>
          <w:rStyle w:val="OperatorTok"/>
        </w:rPr>
        <w:t xml:space="preserve">=</w:t>
      </w:r>
      <w:r>
        <w:rPr>
          <w:rStyle w:val="NormalTok"/>
        </w:rPr>
        <w:t xml:space="preserve"> dg.ScheduleDefinition(</w:t>
      </w:r>
      <w:r>
        <w:br/>
      </w:r>
      <w:r>
        <w:rPr>
          <w:rStyle w:val="DecValTok"/>
        </w:rPr>
        <w:t xml:space="preserve">6</w:t>
      </w:r>
      <w:r>
        <w:rPr>
          <w:rStyle w:val="NormalTok"/>
        </w:rPr>
        <w:t xml:space="preserve">      job</w:t>
      </w:r>
      <w:r>
        <w:rPr>
          <w:rStyle w:val="OperatorTok"/>
        </w:rPr>
        <w:t xml:space="preserve">=</w:t>
      </w:r>
      <w:r>
        <w:rPr>
          <w:rStyle w:val="NormalTok"/>
        </w:rPr>
        <w:t xml:space="preserve">pipeline_complet,</w:t>
      </w:r>
      <w:r>
        <w:br/>
      </w:r>
      <w:r>
        <w:rPr>
          <w:rStyle w:val="DecValTok"/>
        </w:rPr>
        <w:t xml:space="preserve">7</w:t>
      </w:r>
      <w:r>
        <w:rPr>
          <w:rStyle w:val="NormalTok"/>
        </w:rPr>
        <w:t xml:space="preserve">      cron_schedule</w:t>
      </w:r>
      <w:r>
        <w:rPr>
          <w:rStyle w:val="OperatorTok"/>
        </w:rPr>
        <w:t xml:space="preserve">=</w:t>
      </w:r>
      <w:r>
        <w:rPr>
          <w:rStyle w:val="StringTok"/>
        </w:rPr>
        <w:t xml:space="preserve">"0 2 * * *"</w:t>
      </w:r>
      <w:r>
        <w:rPr>
          <w:rStyle w:val="NormalTok"/>
        </w:rPr>
        <w:t xml:space="preserve">,</w:t>
      </w:r>
      <w:r>
        <w:br/>
      </w:r>
      <w:r>
        <w:rPr>
          <w:rStyle w:val="DecValTok"/>
        </w:rPr>
        <w:t xml:space="preserve">8</w:t>
      </w:r>
      <w:r>
        <w:rPr>
          <w:rStyle w:val="NormalTok"/>
        </w:rPr>
        <w:t xml:space="preserve">      execution_timezone</w:t>
      </w:r>
      <w:r>
        <w:rPr>
          <w:rStyle w:val="OperatorTok"/>
        </w:rPr>
        <w:t xml:space="preserve">=</w:t>
      </w:r>
      <w:r>
        <w:rPr>
          <w:rStyle w:val="StringTok"/>
        </w:rPr>
        <w:t xml:space="preserve">"Africa/Dakar"</w:t>
      </w:r>
      <w:r>
        <w:rPr>
          <w:rStyle w:val="NormalTok"/>
        </w:rPr>
        <w:t xml:space="preserve">,</w:t>
      </w:r>
      <w:r>
        <w:br/>
      </w:r>
      <w:r>
        <w:rPr>
          <w:rStyle w:val="DecValTok"/>
        </w:rPr>
        <w:t xml:space="preserve">9</w:t>
      </w:r>
      <w:r>
        <w:rPr>
          <w:rStyle w:val="NormalTok"/>
        </w:rPr>
        <w:t xml:space="preserve">  )</w:t>
      </w:r>
    </w:p>
    <w:bookmarkEnd w:id="87"/>
    <w:p>
      <w:pPr>
        <w:pStyle w:val="FirstParagraph"/>
      </w:pPr>
      <w:r>
        <w:t xml:space="preserve">Le job</w:t>
      </w:r>
      <w:r>
        <w:t xml:space="preserve"> </w:t>
      </w:r>
      <w:r>
        <w:rPr>
          <w:rStyle w:val="VerbatimChar"/>
        </w:rPr>
        <w:t xml:space="preserve">pipeline_complet</w:t>
      </w:r>
      <w:r>
        <w:t xml:space="preserve"> </w:t>
      </w:r>
      <w:r>
        <w:t xml:space="preserve">sélectionne tous les actifs (ligne 3) ; Dagster les exécute dans l’ordre du lignage, l’ingestion avant les transformations. La planification le lance chaque jour à 2 h, heure de Dakar (lignes 7 et 8), un horaire où personne n’interroge l’entrepôt.</w:t>
      </w:r>
    </w:p>
    <w:bookmarkEnd w:id="88"/>
    <w:bookmarkStart w:id="101" w:name="exécution"/>
    <w:p>
      <w:pPr>
        <w:pStyle w:val="Heading3"/>
      </w:pPr>
      <w:r>
        <w:rPr>
          <w:rStyle w:val="SectionNumber"/>
        </w:rPr>
        <w:t xml:space="preserve">3.4.3</w:t>
      </w:r>
      <w:r>
        <w:tab/>
      </w:r>
      <w:r>
        <w:t xml:space="preserve">Exécution</w:t>
      </w:r>
    </w:p>
    <w:p>
      <w:pPr>
        <w:pStyle w:val="FirstParagraph"/>
      </w:pPr>
      <w:r>
        <w:t xml:space="preserve">L’interface web de Dagster, lancée avec</w:t>
      </w:r>
      <w:r>
        <w:t xml:space="preserve"> </w:t>
      </w:r>
      <w:r>
        <w:rPr>
          <w:rStyle w:val="VerbatimChar"/>
        </w:rPr>
        <w:t xml:space="preserve">dg dev</w:t>
      </w:r>
      <w:r>
        <w:t xml:space="preserve">, affiche le graphe des actifs (figure 3.8). On y lit la chaîne complète : les dix actifs DLT de la couche Bronze, les vues Silver, puis les tables Gold.</w:t>
      </w:r>
    </w:p>
    <w:p>
      <w:pPr>
        <w:pStyle w:val="CaptionedFigure"/>
      </w:pPr>
      <w:r>
        <w:drawing>
          <wp:inline>
            <wp:extent cx="5753100" cy="11575117"/>
            <wp:effectExtent b="0" l="0" r="0" t="0"/>
            <wp:docPr descr="Lignage des actifs dans Dagster, de l’ingestion DLT aux tables Gold" title="" id="90" name="Picture"/>
            <a:graphic>
              <a:graphicData uri="http://schemas.openxmlformats.org/drawingml/2006/picture">
                <pic:pic>
                  <pic:nvPicPr>
                    <pic:cNvPr descr="figures/dagster_lineage.png" id="91" name="Picture"/>
                    <pic:cNvPicPr>
                      <a:picLocks noChangeArrowheads="1" noChangeAspect="1"/>
                    </pic:cNvPicPr>
                  </pic:nvPicPr>
                  <pic:blipFill>
                    <a:blip r:embed="rId89"/>
                    <a:stretch>
                      <a:fillRect/>
                    </a:stretch>
                  </pic:blipFill>
                  <pic:spPr bwMode="auto">
                    <a:xfrm>
                      <a:off x="0" y="0"/>
                      <a:ext cx="5753100" cy="11575117"/>
                    </a:xfrm>
                    <a:prstGeom prst="rect">
                      <a:avLst/>
                    </a:prstGeom>
                    <a:noFill/>
                    <a:ln w="9525">
                      <a:noFill/>
                      <a:headEnd/>
                      <a:tailEnd/>
                    </a:ln>
                  </pic:spPr>
                </pic:pic>
              </a:graphicData>
            </a:graphic>
          </wp:inline>
        </w:drawing>
      </w:r>
    </w:p>
    <w:p>
      <w:pPr>
        <w:pStyle w:val="ImageCaption"/>
      </w:pPr>
      <w:r>
        <w:rPr>
          <w:bCs/>
          <w:b/>
        </w:rPr>
        <w:t xml:space="preserve">Figure 3.8</w:t>
      </w:r>
      <w:r>
        <w:t xml:space="preserve"> – Lignage des actifs dans Dagster, de l’ingestion DLT aux tables Gold</w:t>
      </w:r>
    </w:p>
    <w:p>
      <w:pPr>
        <w:pStyle w:val="BodyText"/>
      </w:pPr>
      <w:r>
        <w:t xml:space="preserve">Une exécution du job se suit étape par étape. Sur Snowflake, l’ingestion des dix tables a duré 4 min 33 s (figure 3.9) et l’étape dbt 23,28 s, contrôles compris (figure 3.10). L’exécution complète a duré 7 min 28 s (figure 3.11) ; la différence correspond au démarrage des processus et à la reprise du warehouse Snowflake.</w:t>
      </w:r>
    </w:p>
    <w:p>
      <w:pPr>
        <w:pStyle w:val="CaptionedFigure"/>
      </w:pPr>
      <w:r>
        <w:drawing>
          <wp:inline>
            <wp:extent cx="5753100" cy="3421248"/>
            <wp:effectExtent b="0" l="0" r="0" t="0"/>
            <wp:docPr descr="Étape d’ingestion DLT terminée" title="" id="93" name="Picture"/>
            <a:graphic>
              <a:graphicData uri="http://schemas.openxmlformats.org/drawingml/2006/picture">
                <pic:pic>
                  <pic:nvPicPr>
                    <pic:cNvPr descr="../../captures/Capture14.png" id="94" name="Picture"/>
                    <pic:cNvPicPr>
                      <a:picLocks noChangeArrowheads="1" noChangeAspect="1"/>
                    </pic:cNvPicPr>
                  </pic:nvPicPr>
                  <pic:blipFill>
                    <a:blip r:embed="rId92"/>
                    <a:stretch>
                      <a:fillRect/>
                    </a:stretch>
                  </pic:blipFill>
                  <pic:spPr bwMode="auto">
                    <a:xfrm>
                      <a:off x="0" y="0"/>
                      <a:ext cx="5753100" cy="3421248"/>
                    </a:xfrm>
                    <a:prstGeom prst="rect">
                      <a:avLst/>
                    </a:prstGeom>
                    <a:noFill/>
                    <a:ln w="9525">
                      <a:noFill/>
                      <a:headEnd/>
                      <a:tailEnd/>
                    </a:ln>
                  </pic:spPr>
                </pic:pic>
              </a:graphicData>
            </a:graphic>
          </wp:inline>
        </w:drawing>
      </w:r>
    </w:p>
    <w:p>
      <w:pPr>
        <w:pStyle w:val="ImageCaption"/>
      </w:pPr>
      <w:r>
        <w:rPr>
          <w:bCs/>
          <w:b/>
        </w:rPr>
        <w:t xml:space="preserve">Figure 3.9</w:t>
      </w:r>
      <w:r>
        <w:t xml:space="preserve"> – Étape d’ingestion DLT terminée</w:t>
      </w:r>
    </w:p>
    <w:p>
      <w:pPr>
        <w:pStyle w:val="CaptionedFigure"/>
      </w:pPr>
      <w:r>
        <w:drawing>
          <wp:inline>
            <wp:extent cx="5753100" cy="3409244"/>
            <wp:effectExtent b="0" l="0" r="0" t="0"/>
            <wp:docPr descr="Étape dbt terminée, avec les contrôles de qualité" title="" id="96" name="Picture"/>
            <a:graphic>
              <a:graphicData uri="http://schemas.openxmlformats.org/drawingml/2006/picture">
                <pic:pic>
                  <pic:nvPicPr>
                    <pic:cNvPr descr="../../captures/Capture15.png" id="97" name="Picture"/>
                    <pic:cNvPicPr>
                      <a:picLocks noChangeArrowheads="1" noChangeAspect="1"/>
                    </pic:cNvPicPr>
                  </pic:nvPicPr>
                  <pic:blipFill>
                    <a:blip r:embed="rId95"/>
                    <a:stretch>
                      <a:fillRect/>
                    </a:stretch>
                  </pic:blipFill>
                  <pic:spPr bwMode="auto">
                    <a:xfrm>
                      <a:off x="0" y="0"/>
                      <a:ext cx="5753100" cy="3409244"/>
                    </a:xfrm>
                    <a:prstGeom prst="rect">
                      <a:avLst/>
                    </a:prstGeom>
                    <a:noFill/>
                    <a:ln w="9525">
                      <a:noFill/>
                      <a:headEnd/>
                      <a:tailEnd/>
                    </a:ln>
                  </pic:spPr>
                </pic:pic>
              </a:graphicData>
            </a:graphic>
          </wp:inline>
        </w:drawing>
      </w:r>
    </w:p>
    <w:p>
      <w:pPr>
        <w:pStyle w:val="ImageCaption"/>
      </w:pPr>
      <w:r>
        <w:rPr>
          <w:bCs/>
          <w:b/>
        </w:rPr>
        <w:t xml:space="preserve">Figure 3.10</w:t>
      </w:r>
      <w:r>
        <w:t xml:space="preserve"> – Étape dbt terminée, avec les contrôles de qualité</w:t>
      </w:r>
    </w:p>
    <w:p>
      <w:pPr>
        <w:pStyle w:val="CaptionedFigure"/>
      </w:pPr>
      <w:r>
        <w:drawing>
          <wp:inline>
            <wp:extent cx="5753100" cy="3406243"/>
            <wp:effectExtent b="0" l="0" r="0" t="0"/>
            <wp:docPr descr="Exécution complète du job pipeline_complet" title="" id="99" name="Picture"/>
            <a:graphic>
              <a:graphicData uri="http://schemas.openxmlformats.org/drawingml/2006/picture">
                <pic:pic>
                  <pic:nvPicPr>
                    <pic:cNvPr descr="../../captures/Capture16.png" id="100" name="Picture"/>
                    <pic:cNvPicPr>
                      <a:picLocks noChangeArrowheads="1" noChangeAspect="1"/>
                    </pic:cNvPicPr>
                  </pic:nvPicPr>
                  <pic:blipFill>
                    <a:blip r:embed="rId98"/>
                    <a:stretch>
                      <a:fillRect/>
                    </a:stretch>
                  </pic:blipFill>
                  <pic:spPr bwMode="auto">
                    <a:xfrm>
                      <a:off x="0" y="0"/>
                      <a:ext cx="5753100" cy="3406243"/>
                    </a:xfrm>
                    <a:prstGeom prst="rect">
                      <a:avLst/>
                    </a:prstGeom>
                    <a:noFill/>
                    <a:ln w="9525">
                      <a:noFill/>
                      <a:headEnd/>
                      <a:tailEnd/>
                    </a:ln>
                  </pic:spPr>
                </pic:pic>
              </a:graphicData>
            </a:graphic>
          </wp:inline>
        </w:drawing>
      </w:r>
    </w:p>
    <w:p>
      <w:pPr>
        <w:pStyle w:val="ImageCaption"/>
      </w:pPr>
      <w:r>
        <w:rPr>
          <w:bCs/>
          <w:b/>
        </w:rPr>
        <w:t xml:space="preserve">Figure 3.11</w:t>
      </w:r>
      <w:r>
        <w:t xml:space="preserve"> – Exécution complète du job</w:t>
      </w:r>
      <w:r>
        <w:t xml:space="preserve"> </w:t>
      </w:r>
      <w:r>
        <w:rPr>
          <w:rStyle w:val="VerbatimChar"/>
        </w:rPr>
        <w:t xml:space="preserve">pipeline_complet</w:t>
      </w:r>
    </w:p>
    <w:bookmarkEnd w:id="101"/>
    <w:bookmarkEnd w:id="102"/>
    <w:bookmarkStart w:id="119" w:name="passage-à-snowflake"/>
    <w:p>
      <w:pPr>
        <w:pStyle w:val="Heading2"/>
      </w:pPr>
      <w:r>
        <w:rPr>
          <w:rStyle w:val="SectionNumber"/>
        </w:rPr>
        <w:t xml:space="preserve">3.5</w:t>
      </w:r>
      <w:r>
        <w:tab/>
      </w:r>
      <w:r>
        <w:t xml:space="preserve">Passage à Snowflake</w:t>
      </w:r>
    </w:p>
    <w:bookmarkStart w:id="107" w:name="droits-et-propriété-des-schémas"/>
    <w:p>
      <w:pPr>
        <w:pStyle w:val="Heading3"/>
      </w:pPr>
      <w:r>
        <w:rPr>
          <w:rStyle w:val="SectionNumber"/>
        </w:rPr>
        <w:t xml:space="preserve">3.5.1</w:t>
      </w:r>
      <w:r>
        <w:tab/>
      </w:r>
      <w:r>
        <w:t xml:space="preserve">Droits et propriété des schémas</w:t>
      </w:r>
    </w:p>
    <w:p>
      <w:pPr>
        <w:pStyle w:val="FirstParagraph"/>
      </w:pPr>
      <w:r>
        <w:t xml:space="preserve">Le passage à Snowflake n’a demandé aucune modification du code, seulement la préparation du compte. Nous avons créé un rôle dédié,</w:t>
      </w:r>
      <w:r>
        <w:t xml:space="preserve"> </w:t>
      </w:r>
      <w:r>
        <w:rPr>
          <w:rStyle w:val="VerbatimChar"/>
        </w:rPr>
        <w:t xml:space="preserve">PFPB_ROLE</w:t>
      </w:r>
      <w:r>
        <w:t xml:space="preserve">, plutôt que d’utiliser</w:t>
      </w:r>
      <w:r>
        <w:t xml:space="preserve"> </w:t>
      </w:r>
      <w:r>
        <w:rPr>
          <w:rStyle w:val="VerbatimChar"/>
        </w:rPr>
        <w:t xml:space="preserve">ACCOUNTADMIN</w:t>
      </w:r>
      <w:r>
        <w:t xml:space="preserve">.</w:t>
      </w:r>
    </w:p>
    <w:p>
      <w:pPr>
        <w:pStyle w:val="BodyText"/>
      </w:pPr>
      <w:r>
        <w:rPr>
          <w:bCs/>
          <w:b/>
        </w:rPr>
        <w:t xml:space="preserve">Code 3.10</w:t>
      </w:r>
      <w:r>
        <w:t xml:space="preserve"> – Préparation du compte Snowflake (feuille de calcul Snowsight)</w:t>
      </w:r>
    </w:p>
    <w:bookmarkStart w:id="103" w:name="code:grants"/>
    <w:p>
      <w:pPr>
        <w:pStyle w:val="SourceCode"/>
      </w:pPr>
      <w:r>
        <w:rPr>
          <w:rStyle w:val="NormalTok"/>
        </w:rPr>
        <w:t xml:space="preserve"> </w:t>
      </w:r>
      <w:r>
        <w:rPr>
          <w:rStyle w:val="DecValTok"/>
        </w:rPr>
        <w:t xml:space="preserve">1</w:t>
      </w:r>
      <w:r>
        <w:rPr>
          <w:rStyle w:val="NormalTok"/>
        </w:rPr>
        <w:t xml:space="preserve">  </w:t>
      </w:r>
      <w:r>
        <w:rPr>
          <w:rStyle w:val="KeywordTok"/>
        </w:rPr>
        <w:t xml:space="preserve">USE</w:t>
      </w:r>
      <w:r>
        <w:rPr>
          <w:rStyle w:val="NormalTok"/>
        </w:rPr>
        <w:t xml:space="preserve"> </w:t>
      </w:r>
      <w:r>
        <w:rPr>
          <w:rStyle w:val="KeywordTok"/>
        </w:rPr>
        <w:t xml:space="preserve">ROLE</w:t>
      </w:r>
      <w:r>
        <w:rPr>
          <w:rStyle w:val="NormalTok"/>
        </w:rPr>
        <w:t xml:space="preserve"> ACCOUNTADMIN;</w:t>
      </w:r>
      <w:r>
        <w:br/>
      </w:r>
      <w:r>
        <w:rPr>
          <w:rStyle w:val="NormalTok"/>
        </w:rPr>
        <w:t xml:space="preserve"> </w:t>
      </w:r>
      <w:r>
        <w:rPr>
          <w:rStyle w:val="DecValTok"/>
        </w:rPr>
        <w:t xml:space="preserve">2</w:t>
      </w:r>
      <w:r>
        <w:rPr>
          <w:rStyle w:val="NormalTok"/>
        </w:rPr>
        <w:t xml:space="preserve">  </w:t>
      </w:r>
      <w:r>
        <w:rPr>
          <w:rStyle w:val="KeywordTok"/>
        </w:rPr>
        <w:t xml:space="preserve">CREATE</w:t>
      </w:r>
      <w:r>
        <w:rPr>
          <w:rStyle w:val="NormalTok"/>
        </w:rPr>
        <w:t xml:space="preserve"> </w:t>
      </w:r>
      <w:r>
        <w:rPr>
          <w:rStyle w:val="KeywordTok"/>
        </w:rPr>
        <w:t xml:space="preserve">ROLE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PFPB_ROLE;</w:t>
      </w:r>
      <w:r>
        <w:br/>
      </w:r>
      <w:r>
        <w:rPr>
          <w:rStyle w:val="NormalTok"/>
        </w:rPr>
        <w:t xml:space="preserve"> </w:t>
      </w:r>
      <w:r>
        <w:rPr>
          <w:rStyle w:val="DecValTok"/>
        </w:rPr>
        <w:t xml:space="preserve">3</w:t>
      </w:r>
      <w:r>
        <w:rPr>
          <w:rStyle w:val="NormalTok"/>
        </w:rPr>
        <w:t xml:space="preserve">  </w:t>
      </w:r>
      <w:r>
        <w:rPr>
          <w:rStyle w:val="KeywordTok"/>
        </w:rPr>
        <w:t xml:space="preserve">CREATE</w:t>
      </w:r>
      <w:r>
        <w:rPr>
          <w:rStyle w:val="NormalTok"/>
        </w:rPr>
        <w:t xml:space="preserve"> WAREHOUSE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COMPUTE_WH WAREHOUSE_SIZE </w:t>
      </w:r>
      <w:r>
        <w:rPr>
          <w:rStyle w:val="OperatorTok"/>
        </w:rPr>
        <w:t xml:space="preserve">=</w:t>
      </w:r>
      <w:r>
        <w:rPr>
          <w:rStyle w:val="NormalTok"/>
        </w:rPr>
        <w:t xml:space="preserve"> XSMALL AUTO_SUSPEND </w:t>
      </w:r>
      <w:r>
        <w:rPr>
          <w:rStyle w:val="OperatorTok"/>
        </w:rPr>
        <w:t xml:space="preserve">=</w:t>
      </w:r>
      <w:r>
        <w:rPr>
          <w:rStyle w:val="NormalTok"/>
        </w:rPr>
        <w:t xml:space="preserve"> </w:t>
      </w:r>
      <w:r>
        <w:rPr>
          <w:rStyle w:val="DecValTok"/>
        </w:rPr>
        <w:t xml:space="preserve">60</w:t>
      </w:r>
      <w:r>
        <w:rPr>
          <w:rStyle w:val="NormalTok"/>
        </w:rPr>
        <w:t xml:space="preserve"> AUTO_RESUME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DecValTok"/>
        </w:rPr>
        <w:t xml:space="preserve">4</w:t>
      </w:r>
      <w:r>
        <w:rPr>
          <w:rStyle w:val="NormalTok"/>
        </w:rPr>
        <w:t xml:space="preserve">  </w:t>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PROJET_FINAL_PRATIQUE_BI;</w:t>
      </w:r>
      <w:r>
        <w:br/>
      </w:r>
      <w:r>
        <w:rPr>
          <w:rStyle w:val="NormalTok"/>
        </w:rPr>
        <w:t xml:space="preserve"> </w:t>
      </w:r>
      <w:r>
        <w:rPr>
          <w:rStyle w:val="DecValTok"/>
        </w:rPr>
        <w:t xml:space="preserve">5</w:t>
      </w:r>
      <w:r>
        <w:rPr>
          <w:rStyle w:val="NormalTok"/>
        </w:rPr>
        <w:t xml:space="preserve">  </w:t>
      </w:r>
      <w:r>
        <w:rPr>
          <w:rStyle w:val="KeywordTok"/>
        </w:rPr>
        <w:t xml:space="preserve">GRANT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DATABASE</w:t>
      </w:r>
      <w:r>
        <w:rPr>
          <w:rStyle w:val="NormalTok"/>
        </w:rPr>
        <w:t xml:space="preserve"> PROJET_FINAL_PRATIQUE_BI </w:t>
      </w:r>
      <w:r>
        <w:rPr>
          <w:rStyle w:val="KeywordTok"/>
        </w:rPr>
        <w:t xml:space="preserve">TO</w:t>
      </w:r>
      <w:r>
        <w:rPr>
          <w:rStyle w:val="NormalTok"/>
        </w:rPr>
        <w:t xml:space="preserve"> </w:t>
      </w:r>
      <w:r>
        <w:rPr>
          <w:rStyle w:val="KeywordTok"/>
        </w:rPr>
        <w:t xml:space="preserve">ROLE</w:t>
      </w:r>
      <w:r>
        <w:rPr>
          <w:rStyle w:val="NormalTok"/>
        </w:rPr>
        <w:t xml:space="preserve"> PFPB_ROLE;</w:t>
      </w:r>
      <w:r>
        <w:br/>
      </w:r>
      <w:r>
        <w:rPr>
          <w:rStyle w:val="NormalTok"/>
        </w:rPr>
        <w:t xml:space="preserve"> </w:t>
      </w:r>
      <w:r>
        <w:rPr>
          <w:rStyle w:val="DecValTok"/>
        </w:rPr>
        <w:t xml:space="preserve">6</w:t>
      </w:r>
      <w:r>
        <w:rPr>
          <w:rStyle w:val="NormalTok"/>
        </w:rPr>
        <w:t xml:space="preserve">  </w:t>
      </w:r>
      <w:r>
        <w:rPr>
          <w:rStyle w:val="KeywordTok"/>
        </w:rPr>
        <w:t xml:space="preserve">GRANT</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KeywordTok"/>
        </w:rPr>
        <w:t xml:space="preserve">ON</w:t>
      </w:r>
      <w:r>
        <w:rPr>
          <w:rStyle w:val="NormalTok"/>
        </w:rPr>
        <w:t xml:space="preserve"> </w:t>
      </w:r>
      <w:r>
        <w:rPr>
          <w:rStyle w:val="KeywordTok"/>
        </w:rPr>
        <w:t xml:space="preserve">DATABASE</w:t>
      </w:r>
      <w:r>
        <w:rPr>
          <w:rStyle w:val="NormalTok"/>
        </w:rPr>
        <w:t xml:space="preserve"> PROJET_FINAL_PRATIQUE_BI </w:t>
      </w:r>
      <w:r>
        <w:rPr>
          <w:rStyle w:val="KeywordTok"/>
        </w:rPr>
        <w:t xml:space="preserve">TO</w:t>
      </w:r>
      <w:r>
        <w:rPr>
          <w:rStyle w:val="NormalTok"/>
        </w:rPr>
        <w:t xml:space="preserve"> </w:t>
      </w:r>
      <w:r>
        <w:rPr>
          <w:rStyle w:val="KeywordTok"/>
        </w:rPr>
        <w:t xml:space="preserve">ROLE</w:t>
      </w:r>
      <w:r>
        <w:rPr>
          <w:rStyle w:val="NormalTok"/>
        </w:rPr>
        <w:t xml:space="preserve"> PFPB_ROLE;</w:t>
      </w:r>
      <w:r>
        <w:br/>
      </w:r>
      <w:r>
        <w:rPr>
          <w:rStyle w:val="NormalTok"/>
        </w:rPr>
        <w:t xml:space="preserve"> </w:t>
      </w:r>
      <w:r>
        <w:rPr>
          <w:rStyle w:val="DecValTok"/>
        </w:rPr>
        <w:t xml:space="preserve">7</w:t>
      </w:r>
      <w:r>
        <w:rPr>
          <w:rStyle w:val="NormalTok"/>
        </w:rPr>
        <w:t xml:space="preserve">  </w:t>
      </w:r>
      <w:r>
        <w:rPr>
          <w:rStyle w:val="KeywordTok"/>
        </w:rPr>
        <w:t xml:space="preserve">GRANT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WAREHOUSE COMPUTE_WH </w:t>
      </w:r>
      <w:r>
        <w:rPr>
          <w:rStyle w:val="KeywordTok"/>
        </w:rPr>
        <w:t xml:space="preserve">TO</w:t>
      </w:r>
      <w:r>
        <w:rPr>
          <w:rStyle w:val="NormalTok"/>
        </w:rPr>
        <w:t xml:space="preserve"> </w:t>
      </w:r>
      <w:r>
        <w:rPr>
          <w:rStyle w:val="KeywordTok"/>
        </w:rPr>
        <w:t xml:space="preserve">ROLE</w:t>
      </w:r>
      <w:r>
        <w:rPr>
          <w:rStyle w:val="NormalTok"/>
        </w:rPr>
        <w:t xml:space="preserve"> PFPB_ROLE;</w:t>
      </w:r>
      <w:r>
        <w:br/>
      </w:r>
      <w:r>
        <w:rPr>
          <w:rStyle w:val="NormalTok"/>
        </w:rPr>
        <w:t xml:space="preserve"> </w:t>
      </w:r>
      <w:r>
        <w:rPr>
          <w:rStyle w:val="DecValTok"/>
        </w:rPr>
        <w:t xml:space="preserve">8</w:t>
      </w:r>
      <w:r>
        <w:rPr>
          <w:rStyle w:val="NormalTok"/>
        </w:rPr>
        <w:t xml:space="preserve">  </w:t>
      </w:r>
      <w:r>
        <w:rPr>
          <w:rStyle w:val="KeywordTok"/>
        </w:rPr>
        <w:t xml:space="preserve">GRANT</w:t>
      </w:r>
      <w:r>
        <w:rPr>
          <w:rStyle w:val="NormalTok"/>
        </w:rPr>
        <w:t xml:space="preserve"> </w:t>
      </w:r>
      <w:r>
        <w:rPr>
          <w:rStyle w:val="KeywordTok"/>
        </w:rPr>
        <w:t xml:space="preserve">DATABASE</w:t>
      </w:r>
      <w:r>
        <w:rPr>
          <w:rStyle w:val="NormalTok"/>
        </w:rPr>
        <w:t xml:space="preserve"> </w:t>
      </w:r>
      <w:r>
        <w:rPr>
          <w:rStyle w:val="KeywordTok"/>
        </w:rPr>
        <w:t xml:space="preserve">ROLE</w:t>
      </w:r>
      <w:r>
        <w:rPr>
          <w:rStyle w:val="NormalTok"/>
        </w:rPr>
        <w:t xml:space="preserve"> SNOWFLAKE.CORTEX_USER </w:t>
      </w:r>
      <w:r>
        <w:rPr>
          <w:rStyle w:val="KeywordTok"/>
        </w:rPr>
        <w:t xml:space="preserve">TO</w:t>
      </w:r>
      <w:r>
        <w:rPr>
          <w:rStyle w:val="NormalTok"/>
        </w:rPr>
        <w:t xml:space="preserve"> </w:t>
      </w:r>
      <w:r>
        <w:rPr>
          <w:rStyle w:val="KeywordTok"/>
        </w:rPr>
        <w:t xml:space="preserve">ROLE</w:t>
      </w:r>
      <w:r>
        <w:rPr>
          <w:rStyle w:val="NormalTok"/>
        </w:rPr>
        <w:t xml:space="preserve"> PFPB_ROLE;</w:t>
      </w:r>
      <w:r>
        <w:br/>
      </w:r>
      <w:r>
        <w:rPr>
          <w:rStyle w:val="NormalTok"/>
        </w:rPr>
        <w:t xml:space="preserve"> </w:t>
      </w:r>
      <w:r>
        <w:rPr>
          <w:rStyle w:val="DecValTok"/>
        </w:rPr>
        <w:t xml:space="preserve">9</w:t>
      </w:r>
      <w:r>
        <w:rPr>
          <w:rStyle w:val="NormalTok"/>
        </w:rPr>
        <w:t xml:space="preserve">  </w:t>
      </w:r>
      <w:r>
        <w:rPr>
          <w:rStyle w:val="KeywordTok"/>
        </w:rPr>
        <w:t xml:space="preserve">GRANT</w:t>
      </w:r>
      <w:r>
        <w:rPr>
          <w:rStyle w:val="NormalTok"/>
        </w:rPr>
        <w:t xml:space="preserve"> </w:t>
      </w:r>
      <w:r>
        <w:rPr>
          <w:rStyle w:val="KeywordTok"/>
        </w:rPr>
        <w:t xml:space="preserve">ROLE</w:t>
      </w:r>
      <w:r>
        <w:rPr>
          <w:rStyle w:val="NormalTok"/>
        </w:rPr>
        <w:t xml:space="preserve"> PFPB_ROLE </w:t>
      </w:r>
      <w:r>
        <w:rPr>
          <w:rStyle w:val="KeywordTok"/>
        </w:rPr>
        <w:t xml:space="preserve">TO</w:t>
      </w:r>
      <w:r>
        <w:rPr>
          <w:rStyle w:val="NormalTok"/>
        </w:rPr>
        <w:t xml:space="preserve"> </w:t>
      </w:r>
      <w:r>
        <w:rPr>
          <w:rStyle w:val="FunctionTok"/>
        </w:rPr>
        <w:t xml:space="preserve">USER</w:t>
      </w:r>
      <w:r>
        <w:rPr>
          <w:rStyle w:val="NormalTok"/>
        </w:rPr>
        <w:t xml:space="preserve"> </w:t>
      </w:r>
      <w:r>
        <w:rPr>
          <w:rStyle w:val="OperatorTok"/>
        </w:rPr>
        <w:t xml:space="preserve">&lt;</w:t>
      </w:r>
      <w:r>
        <w:rPr>
          <w:rStyle w:val="NormalTok"/>
        </w:rPr>
        <w:t xml:space="preserve">utilisateur_snowflake</w:t>
      </w:r>
      <w:r>
        <w:rPr>
          <w:rStyle w:val="OperatorTok"/>
        </w:rPr>
        <w:t xml:space="preserve">&gt;</w:t>
      </w:r>
      <w:r>
        <w:rPr>
          <w:rStyle w:val="NormalTok"/>
        </w:rPr>
        <w:t xml:space="preserve">;</w:t>
      </w:r>
      <w:r>
        <w:br/>
      </w:r>
      <w:r>
        <w:rPr>
          <w:rStyle w:val="DecValTok"/>
        </w:rPr>
        <w:t xml:space="preserve">10</w:t>
      </w:r>
      <w:r>
        <w:rPr>
          <w:rStyle w:val="NormalTok"/>
        </w:rPr>
        <w:t xml:space="preserve">  </w:t>
      </w:r>
      <w:r>
        <w:br/>
      </w:r>
      <w:r>
        <w:rPr>
          <w:rStyle w:val="DecValTok"/>
        </w:rPr>
        <w:t xml:space="preserve">11</w:t>
      </w:r>
      <w:r>
        <w:rPr>
          <w:rStyle w:val="NormalTok"/>
        </w:rPr>
        <w:t xml:space="preserve">  </w:t>
      </w:r>
      <w:r>
        <w:rPr>
          <w:rStyle w:val="KeywordTok"/>
        </w:rPr>
        <w:t xml:space="preserve">USE</w:t>
      </w:r>
      <w:r>
        <w:rPr>
          <w:rStyle w:val="NormalTok"/>
        </w:rPr>
        <w:t xml:space="preserve"> </w:t>
      </w:r>
      <w:r>
        <w:rPr>
          <w:rStyle w:val="KeywordTok"/>
        </w:rPr>
        <w:t xml:space="preserve">ROLE</w:t>
      </w:r>
      <w:r>
        <w:rPr>
          <w:rStyle w:val="NormalTok"/>
        </w:rPr>
        <w:t xml:space="preserve"> PFPB_ROLE;</w:t>
      </w:r>
      <w:r>
        <w:br/>
      </w:r>
      <w:r>
        <w:rPr>
          <w:rStyle w:val="DecValTok"/>
        </w:rPr>
        <w:t xml:space="preserve">12</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PROJET_FINAL_PRATIQUE_BI.BRONZE;</w:t>
      </w:r>
      <w:r>
        <w:br/>
      </w:r>
      <w:r>
        <w:rPr>
          <w:rStyle w:val="DecValTok"/>
        </w:rPr>
        <w:t xml:space="preserve">13</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PROJET_FINAL_PRATIQUE_BI.SILVER;</w:t>
      </w:r>
      <w:r>
        <w:br/>
      </w:r>
      <w:r>
        <w:rPr>
          <w:rStyle w:val="DecValTok"/>
        </w:rPr>
        <w:t xml:space="preserve">14</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PROJET_FINAL_PRATIQUE_BI.GOLD;</w:t>
      </w:r>
    </w:p>
    <w:bookmarkEnd w:id="103"/>
    <w:p>
      <w:pPr>
        <w:pStyle w:val="FirstParagraph"/>
      </w:pPr>
      <w:r>
        <w:t xml:space="preserve">Le warehouse est le plus petit proposé (</w:t>
      </w:r>
      <w:r>
        <w:rPr>
          <w:rStyle w:val="VerbatimChar"/>
        </w:rPr>
        <w:t xml:space="preserve">XSMALL</w:t>
      </w:r>
      <w:r>
        <w:t xml:space="preserve">) et se suspend après soixante secondes d’inactivité (ligne 3) : il ne consomme de crédits que pendant les exécutions. La ligne 8 donne au rôle l’accès aux fonctions Cortex.</w:t>
      </w:r>
    </w:p>
    <w:p>
      <w:pPr>
        <w:pStyle w:val="BodyText"/>
      </w:pPr>
      <w:r>
        <w:t xml:space="preserve">L’ordre des deux blocs compte. Nous avions d’abord créé les schémas avec</w:t>
      </w:r>
      <w:r>
        <w:t xml:space="preserve"> </w:t>
      </w:r>
      <w:r>
        <w:rPr>
          <w:rStyle w:val="VerbatimChar"/>
        </w:rPr>
        <w:t xml:space="preserve">ACCOUNTADMIN</w:t>
      </w:r>
      <w:r>
        <w:t xml:space="preserve"> </w:t>
      </w:r>
      <w:r>
        <w:t xml:space="preserve">: ils appartenaient alors à ce rôle, et DLT comme dbt échouaient avec l’erreur</w:t>
      </w:r>
      <w:r>
        <w:t xml:space="preserve"> </w:t>
      </w:r>
      <w:r>
        <w:rPr>
          <w:iCs/>
          <w:i/>
        </w:rPr>
        <w:t xml:space="preserve">Insufficient privileges to operate on schema</w:t>
      </w:r>
      <w:r>
        <w:t xml:space="preserve">, même après plusieurs</w:t>
      </w:r>
      <w:r>
        <w:t xml:space="preserve"> </w:t>
      </w:r>
      <w:r>
        <w:rPr>
          <w:rStyle w:val="VerbatimChar"/>
        </w:rPr>
        <w:t xml:space="preserve">GRANT</w:t>
      </w:r>
      <w:r>
        <w:t xml:space="preserve">. Dans Snowflake, créer et remplacer des tables dans un schéma relève du propriétaire. Les schémas sont donc créés par</w:t>
      </w:r>
      <w:r>
        <w:t xml:space="preserve"> </w:t>
      </w:r>
      <w:r>
        <w:rPr>
          <w:rStyle w:val="VerbatimChar"/>
        </w:rPr>
        <w:t xml:space="preserve">PFPB_ROLE</w:t>
      </w:r>
      <w:r>
        <w:t xml:space="preserve"> </w:t>
      </w:r>
      <w:r>
        <w:t xml:space="preserve">lui-même (lignes 11 à 14) ; pour des schémas existants,</w:t>
      </w:r>
      <w:r>
        <w:t xml:space="preserve"> </w:t>
      </w:r>
      <w:r>
        <w:rPr>
          <w:rStyle w:val="VerbatimChar"/>
        </w:rPr>
        <w:t xml:space="preserve">GRANT OWNERSHIP ON SCHEMA … TO ROLE PFPB_ROLE COPY CURRENT GRANTS</w:t>
      </w:r>
      <w:r>
        <w:t xml:space="preserve"> </w:t>
      </w:r>
      <w:r>
        <w:t xml:space="preserve">produit le même effet. La figure 3.12 montre le schéma</w:t>
      </w:r>
      <w:r>
        <w:t xml:space="preserve"> </w:t>
      </w:r>
      <w:r>
        <w:rPr>
          <w:rStyle w:val="VerbatimChar"/>
        </w:rPr>
        <w:t xml:space="preserve">GOLD</w:t>
      </w:r>
      <w:r>
        <w:t xml:space="preserve"> </w:t>
      </w:r>
      <w:r>
        <w:t xml:space="preserve">après exécution, avec</w:t>
      </w:r>
      <w:r>
        <w:t xml:space="preserve"> </w:t>
      </w:r>
      <w:r>
        <w:rPr>
          <w:rStyle w:val="VerbatimChar"/>
        </w:rPr>
        <w:t xml:space="preserve">PFPB_ROLE</w:t>
      </w:r>
      <w:r>
        <w:t xml:space="preserve"> </w:t>
      </w:r>
      <w:r>
        <w:t xml:space="preserve">comme propriétaire.</w:t>
      </w:r>
    </w:p>
    <w:p>
      <w:pPr>
        <w:pStyle w:val="CaptionedFigure"/>
      </w:pPr>
      <w:r>
        <w:drawing>
          <wp:inline>
            <wp:extent cx="5753100" cy="3094129"/>
            <wp:effectExtent b="0" l="0" r="0" t="0"/>
            <wp:docPr descr="Tables du schéma GOLD dans Snowsight, propriété de PFPB_ROLE" title="" id="105" name="Picture"/>
            <a:graphic>
              <a:graphicData uri="http://schemas.openxmlformats.org/drawingml/2006/picture">
                <pic:pic>
                  <pic:nvPicPr>
                    <pic:cNvPr descr="../../captures/Capture18.png" id="106" name="Picture"/>
                    <pic:cNvPicPr>
                      <a:picLocks noChangeArrowheads="1" noChangeAspect="1"/>
                    </pic:cNvPicPr>
                  </pic:nvPicPr>
                  <pic:blipFill>
                    <a:blip r:embed="rId104"/>
                    <a:stretch>
                      <a:fillRect/>
                    </a:stretch>
                  </pic:blipFill>
                  <pic:spPr bwMode="auto">
                    <a:xfrm>
                      <a:off x="0" y="0"/>
                      <a:ext cx="5753100" cy="3094129"/>
                    </a:xfrm>
                    <a:prstGeom prst="rect">
                      <a:avLst/>
                    </a:prstGeom>
                    <a:noFill/>
                    <a:ln w="9525">
                      <a:noFill/>
                      <a:headEnd/>
                      <a:tailEnd/>
                    </a:ln>
                  </pic:spPr>
                </pic:pic>
              </a:graphicData>
            </a:graphic>
          </wp:inline>
        </w:drawing>
      </w:r>
    </w:p>
    <w:p>
      <w:pPr>
        <w:pStyle w:val="ImageCaption"/>
      </w:pPr>
      <w:r>
        <w:rPr>
          <w:bCs/>
          <w:b/>
        </w:rPr>
        <w:t xml:space="preserve">Figure 3.12</w:t>
      </w:r>
      <w:r>
        <w:t xml:space="preserve"> – Tables du schéma</w:t>
      </w:r>
      <w:r>
        <w:t xml:space="preserve"> </w:t>
      </w:r>
      <w:r>
        <w:rPr>
          <w:rStyle w:val="VerbatimChar"/>
        </w:rPr>
        <w:t xml:space="preserve">GOLD</w:t>
      </w:r>
      <w:r>
        <w:t xml:space="preserve"> </w:t>
      </w:r>
      <w:r>
        <w:t xml:space="preserve">dans Snowsight, propriété de</w:t>
      </w:r>
      <w:r>
        <w:t xml:space="preserve"> </w:t>
      </w:r>
      <w:r>
        <w:rPr>
          <w:rStyle w:val="VerbatimChar"/>
        </w:rPr>
        <w:t xml:space="preserve">PFPB_ROLE</w:t>
      </w:r>
    </w:p>
    <w:bookmarkEnd w:id="107"/>
    <w:bookmarkStart w:id="118" w:name="profil-dbt"/>
    <w:p>
      <w:pPr>
        <w:pStyle w:val="Heading3"/>
      </w:pPr>
      <w:r>
        <w:rPr>
          <w:rStyle w:val="SectionNumber"/>
        </w:rPr>
        <w:t xml:space="preserve">3.5.2</w:t>
      </w:r>
      <w:r>
        <w:tab/>
      </w:r>
      <w:r>
        <w:t xml:space="preserve">Profil dbt</w:t>
      </w:r>
    </w:p>
    <w:p>
      <w:pPr>
        <w:pStyle w:val="FirstParagraph"/>
      </w:pPr>
      <w:r>
        <w:t xml:space="preserve">Le profil dbt décrit les deux cibles ; la variable</w:t>
      </w:r>
      <w:r>
        <w:t xml:space="preserve"> </w:t>
      </w:r>
      <w:r>
        <w:rPr>
          <w:rStyle w:val="VerbatimChar"/>
        </w:rPr>
        <w:t xml:space="preserve">DBT_TARGET</w:t>
      </w:r>
      <w:r>
        <w:t xml:space="preserve"> </w:t>
      </w:r>
      <w:r>
        <w:t xml:space="preserve">choisit entre elles.</w:t>
      </w:r>
    </w:p>
    <w:p>
      <w:pPr>
        <w:pStyle w:val="BodyText"/>
      </w:pPr>
      <w:r>
        <w:rPr>
          <w:bCs/>
          <w:b/>
        </w:rPr>
        <w:t xml:space="preserve">Code 3.11</w:t>
      </w:r>
      <w:r>
        <w:t xml:space="preserve"> – Profil dbt à deux cibles (defs/transform/profiles.yml)</w:t>
      </w:r>
    </w:p>
    <w:bookmarkStart w:id="108" w:name="code:profile"/>
    <w:p>
      <w:pPr>
        <w:pStyle w:val="SourceCode"/>
      </w:pPr>
      <w:r>
        <w:rPr>
          <w:rStyle w:val="AttributeTok"/>
        </w:rPr>
        <w:t xml:space="preserve"> </w:t>
      </w:r>
      <w:r>
        <w:rPr>
          <w:rStyle w:val="FunctionTok"/>
        </w:rPr>
        <w:t xml:space="preserve">1  transform</w:t>
      </w:r>
      <w:r>
        <w:rPr>
          <w:rStyle w:val="KeywordTok"/>
        </w:rPr>
        <w:t xml:space="preserve">:</w:t>
      </w:r>
      <w:r>
        <w:br/>
      </w:r>
      <w:r>
        <w:rPr>
          <w:rStyle w:val="AttributeTok"/>
        </w:rPr>
        <w:t xml:space="preserve"> </w:t>
      </w:r>
      <w:r>
        <w:rPr>
          <w:rStyle w:val="FunctionTok"/>
        </w:rPr>
        <w:t xml:space="preserve">2    target</w:t>
      </w:r>
      <w:r>
        <w:rPr>
          <w:rStyle w:val="KeywordTok"/>
        </w:rPr>
        <w:t xml:space="preserve">:</w:t>
      </w:r>
      <w:r>
        <w:rPr>
          <w:rStyle w:val="AttributeTok"/>
        </w:rPr>
        <w:t xml:space="preserve"> </w:t>
      </w:r>
      <w:r>
        <w:rPr>
          <w:rStyle w:val="StringTok"/>
        </w:rPr>
        <w:t xml:space="preserve">"{{ env_var('DBT_TARGET', 'dev') }}"</w:t>
      </w:r>
      <w:r>
        <w:br/>
      </w:r>
      <w:r>
        <w:rPr>
          <w:rStyle w:val="AttributeTok"/>
        </w:rPr>
        <w:t xml:space="preserve"> </w:t>
      </w:r>
      <w:r>
        <w:rPr>
          <w:rStyle w:val="FunctionTok"/>
        </w:rPr>
        <w:t xml:space="preserve">3    outputs</w:t>
      </w:r>
      <w:r>
        <w:rPr>
          <w:rStyle w:val="KeywordTok"/>
        </w:rPr>
        <w:t xml:space="preserve">:</w:t>
      </w:r>
      <w:r>
        <w:br/>
      </w:r>
      <w:r>
        <w:rPr>
          <w:rStyle w:val="AttributeTok"/>
        </w:rPr>
        <w:t xml:space="preserve"> </w:t>
      </w:r>
      <w:r>
        <w:rPr>
          <w:rStyle w:val="FunctionTok"/>
        </w:rPr>
        <w:t xml:space="preserve">4      dev</w:t>
      </w:r>
      <w:r>
        <w:rPr>
          <w:rStyle w:val="KeywordTok"/>
        </w:rPr>
        <w:t xml:space="preserve">:</w:t>
      </w:r>
      <w:r>
        <w:br/>
      </w:r>
      <w:r>
        <w:rPr>
          <w:rStyle w:val="AttributeTok"/>
        </w:rPr>
        <w:t xml:space="preserve"> </w:t>
      </w:r>
      <w:r>
        <w:rPr>
          <w:rStyle w:val="FunctionTok"/>
        </w:rPr>
        <w:t xml:space="preserve">5        type</w:t>
      </w:r>
      <w:r>
        <w:rPr>
          <w:rStyle w:val="KeywordTok"/>
        </w:rPr>
        <w:t xml:space="preserve">:</w:t>
      </w:r>
      <w:r>
        <w:rPr>
          <w:rStyle w:val="AttributeTok"/>
        </w:rPr>
        <w:t xml:space="preserve"> duckdb</w:t>
      </w:r>
      <w:r>
        <w:br/>
      </w:r>
      <w:r>
        <w:rPr>
          <w:rStyle w:val="AttributeTok"/>
        </w:rPr>
        <w:t xml:space="preserve"> </w:t>
      </w:r>
      <w:r>
        <w:rPr>
          <w:rStyle w:val="FunctionTok"/>
        </w:rPr>
        <w:t xml:space="preserve">6        path</w:t>
      </w:r>
      <w:r>
        <w:rPr>
          <w:rStyle w:val="KeywordTok"/>
        </w:rPr>
        <w:t xml:space="preserve">:</w:t>
      </w:r>
      <w:r>
        <w:rPr>
          <w:rStyle w:val="AttributeTok"/>
        </w:rPr>
        <w:t xml:space="preserve"> </w:t>
      </w:r>
      <w:r>
        <w:rPr>
          <w:rStyle w:val="StringTok"/>
        </w:rPr>
        <w:t xml:space="preserve">"{{ env_var('DUCKDB_PATH') | replace('$HOME', env_var('HOME')) }}"</w:t>
      </w:r>
      <w:r>
        <w:br/>
      </w:r>
      <w:r>
        <w:rPr>
          <w:rStyle w:val="AttributeTok"/>
        </w:rPr>
        <w:t xml:space="preserve"> </w:t>
      </w:r>
      <w:r>
        <w:rPr>
          <w:rStyle w:val="FunctionTok"/>
        </w:rPr>
        <w:t xml:space="preserve">7        schema</w:t>
      </w:r>
      <w:r>
        <w:rPr>
          <w:rStyle w:val="KeywordTok"/>
        </w:rPr>
        <w:t xml:space="preserve">:</w:t>
      </w:r>
      <w:r>
        <w:rPr>
          <w:rStyle w:val="AttributeTok"/>
        </w:rPr>
        <w:t xml:space="preserve"> main</w:t>
      </w:r>
      <w:r>
        <w:br/>
      </w:r>
      <w:r>
        <w:rPr>
          <w:rStyle w:val="AttributeTok"/>
        </w:rPr>
        <w:t xml:space="preserve"> </w:t>
      </w:r>
      <w:r>
        <w:rPr>
          <w:rStyle w:val="FunctionTok"/>
        </w:rPr>
        <w:t xml:space="preserve">8        threads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9      prod</w:t>
      </w:r>
      <w:r>
        <w:rPr>
          <w:rStyle w:val="KeywordTok"/>
        </w:rPr>
        <w:t xml:space="preserve">:</w:t>
      </w:r>
      <w:r>
        <w:br/>
      </w:r>
      <w:r>
        <w:rPr>
          <w:rStyle w:val="FunctionTok"/>
        </w:rPr>
        <w:t xml:space="preserve">10        type</w:t>
      </w:r>
      <w:r>
        <w:rPr>
          <w:rStyle w:val="KeywordTok"/>
        </w:rPr>
        <w:t xml:space="preserve">:</w:t>
      </w:r>
      <w:r>
        <w:rPr>
          <w:rStyle w:val="AttributeTok"/>
        </w:rPr>
        <w:t xml:space="preserve"> snowflake</w:t>
      </w:r>
      <w:r>
        <w:br/>
      </w:r>
      <w:r>
        <w:rPr>
          <w:rStyle w:val="FunctionTok"/>
        </w:rPr>
        <w:t xml:space="preserve">11        account</w:t>
      </w:r>
      <w:r>
        <w:rPr>
          <w:rStyle w:val="KeywordTok"/>
        </w:rPr>
        <w:t xml:space="preserve">:</w:t>
      </w:r>
      <w:r>
        <w:rPr>
          <w:rStyle w:val="AttributeTok"/>
        </w:rPr>
        <w:t xml:space="preserve"> </w:t>
      </w:r>
      <w:r>
        <w:rPr>
          <w:rStyle w:val="StringTok"/>
        </w:rPr>
        <w:t xml:space="preserve">"{{ env_var('SF_ACCOUNT') }}"</w:t>
      </w:r>
      <w:r>
        <w:br/>
      </w:r>
      <w:r>
        <w:rPr>
          <w:rStyle w:val="FunctionTok"/>
        </w:rPr>
        <w:t xml:space="preserve">12        user</w:t>
      </w:r>
      <w:r>
        <w:rPr>
          <w:rStyle w:val="KeywordTok"/>
        </w:rPr>
        <w:t xml:space="preserve">:</w:t>
      </w:r>
      <w:r>
        <w:rPr>
          <w:rStyle w:val="AttributeTok"/>
        </w:rPr>
        <w:t xml:space="preserve"> </w:t>
      </w:r>
      <w:r>
        <w:rPr>
          <w:rStyle w:val="StringTok"/>
        </w:rPr>
        <w:t xml:space="preserve">"{{ env_var('SF_USER') }}"</w:t>
      </w:r>
      <w:r>
        <w:br/>
      </w:r>
      <w:r>
        <w:rPr>
          <w:rStyle w:val="FunctionTok"/>
        </w:rPr>
        <w:t xml:space="preserve">13        password</w:t>
      </w:r>
      <w:r>
        <w:rPr>
          <w:rStyle w:val="KeywordTok"/>
        </w:rPr>
        <w:t xml:space="preserve">:</w:t>
      </w:r>
      <w:r>
        <w:rPr>
          <w:rStyle w:val="AttributeTok"/>
        </w:rPr>
        <w:t xml:space="preserve"> </w:t>
      </w:r>
      <w:r>
        <w:rPr>
          <w:rStyle w:val="StringTok"/>
        </w:rPr>
        <w:t xml:space="preserve">"{{ env_var('SF_PASSWORD') }}"</w:t>
      </w:r>
      <w:r>
        <w:br/>
      </w:r>
      <w:r>
        <w:rPr>
          <w:rStyle w:val="FunctionTok"/>
        </w:rPr>
        <w:t xml:space="preserve">14        role</w:t>
      </w:r>
      <w:r>
        <w:rPr>
          <w:rStyle w:val="KeywordTok"/>
        </w:rPr>
        <w:t xml:space="preserve">:</w:t>
      </w:r>
      <w:r>
        <w:rPr>
          <w:rStyle w:val="AttributeTok"/>
        </w:rPr>
        <w:t xml:space="preserve"> PFPB_ROLE</w:t>
      </w:r>
      <w:r>
        <w:br/>
      </w:r>
      <w:r>
        <w:rPr>
          <w:rStyle w:val="FunctionTok"/>
        </w:rPr>
        <w:t xml:space="preserve">15        warehouse</w:t>
      </w:r>
      <w:r>
        <w:rPr>
          <w:rStyle w:val="KeywordTok"/>
        </w:rPr>
        <w:t xml:space="preserve">:</w:t>
      </w:r>
      <w:r>
        <w:rPr>
          <w:rStyle w:val="AttributeTok"/>
        </w:rPr>
        <w:t xml:space="preserve"> </w:t>
      </w:r>
      <w:r>
        <w:rPr>
          <w:rStyle w:val="StringTok"/>
        </w:rPr>
        <w:t xml:space="preserve">"{{ env_var('SF_WAREHOUSE', 'COMPUTE_WH') }}"</w:t>
      </w:r>
      <w:r>
        <w:br/>
      </w:r>
      <w:r>
        <w:rPr>
          <w:rStyle w:val="FunctionTok"/>
        </w:rPr>
        <w:t xml:space="preserve">16        database</w:t>
      </w:r>
      <w:r>
        <w:rPr>
          <w:rStyle w:val="KeywordTok"/>
        </w:rPr>
        <w:t xml:space="preserve">:</w:t>
      </w:r>
      <w:r>
        <w:rPr>
          <w:rStyle w:val="AttributeTok"/>
        </w:rPr>
        <w:t xml:space="preserve"> PROJET_FINAL_PRATIQUE_BI</w:t>
      </w:r>
      <w:r>
        <w:br/>
      </w:r>
      <w:r>
        <w:rPr>
          <w:rStyle w:val="FunctionTok"/>
        </w:rPr>
        <w:t xml:space="preserve">17        schema</w:t>
      </w:r>
      <w:r>
        <w:rPr>
          <w:rStyle w:val="KeywordTok"/>
        </w:rPr>
        <w:t xml:space="preserve">:</w:t>
      </w:r>
      <w:r>
        <w:rPr>
          <w:rStyle w:val="AttributeTok"/>
        </w:rPr>
        <w:t xml:space="preserve"> SILVER</w:t>
      </w:r>
      <w:r>
        <w:br/>
      </w:r>
      <w:r>
        <w:rPr>
          <w:rStyle w:val="FunctionTok"/>
        </w:rPr>
        <w:t xml:space="preserve">18        threads</w:t>
      </w:r>
      <w:r>
        <w:rPr>
          <w:rStyle w:val="KeywordTok"/>
        </w:rPr>
        <w:t xml:space="preserve">:</w:t>
      </w:r>
      <w:r>
        <w:rPr>
          <w:rStyle w:val="AttributeTok"/>
        </w:rPr>
        <w:t xml:space="preserve"> </w:t>
      </w:r>
      <w:r>
        <w:rPr>
          <w:rStyle w:val="DecValTok"/>
        </w:rPr>
        <w:t xml:space="preserve">4</w:t>
      </w:r>
    </w:p>
    <w:bookmarkEnd w:id="108"/>
    <w:p>
      <w:pPr>
        <w:pStyle w:val="FirstParagraph"/>
      </w:pPr>
      <w:r>
        <w:t xml:space="preserve">Les identifiants sont lus dans l’environnement (lignes 11 à 13) et n’apparaissent jamais dans le dépôt. Le filtre</w:t>
      </w:r>
      <w:r>
        <w:t xml:space="preserve"> </w:t>
      </w:r>
      <w:r>
        <w:rPr>
          <w:rStyle w:val="VerbatimChar"/>
        </w:rPr>
        <w:t xml:space="preserve">replace</w:t>
      </w:r>
      <w:r>
        <w:t xml:space="preserve"> </w:t>
      </w:r>
      <w:r>
        <w:t xml:space="preserve">de la ligne 6 corrige, côté dbt, le même problème de</w:t>
      </w:r>
      <w:r>
        <w:t xml:space="preserve"> </w:t>
      </w:r>
      <w:r>
        <w:rPr>
          <w:rStyle w:val="VerbatimChar"/>
        </w:rPr>
        <w:t xml:space="preserve">$HOME</w:t>
      </w:r>
      <w:r>
        <w:t xml:space="preserve"> </w:t>
      </w:r>
      <w:r>
        <w:t xml:space="preserve">que dans</w:t>
      </w:r>
      <w:r>
        <w:t xml:space="preserve"> </w:t>
      </w:r>
      <w:r>
        <w:rPr>
          <w:rStyle w:val="VerbatimChar"/>
        </w:rPr>
        <w:t xml:space="preserve">loads.py</w:t>
      </w:r>
      <w:r>
        <w:t xml:space="preserve">. La commande</w:t>
      </w:r>
      <w:r>
        <w:t xml:space="preserve"> </w:t>
      </w:r>
      <w:r>
        <w:rPr>
          <w:rStyle w:val="VerbatimChar"/>
        </w:rPr>
        <w:t xml:space="preserve">dbt debug --target prod</w:t>
      </w:r>
      <w:r>
        <w:t xml:space="preserve"> </w:t>
      </w:r>
      <w:r>
        <w:t xml:space="preserve">a confirmé la connexion avant la première exécution (figure 3.13).</w:t>
      </w:r>
    </w:p>
    <w:p>
      <w:pPr>
        <w:pStyle w:val="CaptionedFigure"/>
      </w:pPr>
      <w:r>
        <w:drawing>
          <wp:inline>
            <wp:extent cx="5753100" cy="3292201"/>
            <wp:effectExtent b="0" l="0" r="0" t="0"/>
            <wp:docPr descr="Vérification de la connexion à Snowflake avec dbt debug" title="" id="110" name="Picture"/>
            <a:graphic>
              <a:graphicData uri="http://schemas.openxmlformats.org/drawingml/2006/picture">
                <pic:pic>
                  <pic:nvPicPr>
                    <pic:cNvPr descr="../../captures/Capture8.png" id="111" name="Picture"/>
                    <pic:cNvPicPr>
                      <a:picLocks noChangeArrowheads="1" noChangeAspect="1"/>
                    </pic:cNvPicPr>
                  </pic:nvPicPr>
                  <pic:blipFill>
                    <a:blip r:embed="rId109"/>
                    <a:stretch>
                      <a:fillRect/>
                    </a:stretch>
                  </pic:blipFill>
                  <pic:spPr bwMode="auto">
                    <a:xfrm>
                      <a:off x="0" y="0"/>
                      <a:ext cx="5753100" cy="3292201"/>
                    </a:xfrm>
                    <a:prstGeom prst="rect">
                      <a:avLst/>
                    </a:prstGeom>
                    <a:noFill/>
                    <a:ln w="9525">
                      <a:noFill/>
                      <a:headEnd/>
                      <a:tailEnd/>
                    </a:ln>
                  </pic:spPr>
                </pic:pic>
              </a:graphicData>
            </a:graphic>
          </wp:inline>
        </w:drawing>
      </w:r>
    </w:p>
    <w:p>
      <w:pPr>
        <w:pStyle w:val="ImageCaption"/>
      </w:pPr>
      <w:r>
        <w:rPr>
          <w:bCs/>
          <w:b/>
        </w:rPr>
        <w:t xml:space="preserve">Figure 3.13</w:t>
      </w:r>
      <w:r>
        <w:t xml:space="preserve"> – Vérification de la connexion à Snowflake avec</w:t>
      </w:r>
      <w:r>
        <w:t xml:space="preserve"> </w:t>
      </w:r>
      <w:r>
        <w:rPr>
          <w:rStyle w:val="VerbatimChar"/>
        </w:rPr>
        <w:t xml:space="preserve">dbt debug</w:t>
      </w:r>
    </w:p>
    <w:p>
      <w:pPr>
        <w:pStyle w:val="BodyText"/>
      </w:pPr>
      <w:r>
        <w:t xml:space="preserve">Après l’exécution, une requête sur les vues</w:t>
      </w:r>
      <w:r>
        <w:t xml:space="preserve"> </w:t>
      </w:r>
      <w:r>
        <w:rPr>
          <w:rStyle w:val="VerbatimChar"/>
        </w:rPr>
        <w:t xml:space="preserve">INFORMATION_SCHEMA</w:t>
      </w:r>
      <w:r>
        <w:t xml:space="preserve"> </w:t>
      </w:r>
      <w:r>
        <w:t xml:space="preserve">a permis de comparer les volumes des trois couches (figure 3.14). La figure 3.15 montre un aperçu de</w:t>
      </w:r>
      <w:r>
        <w:t xml:space="preserve"> </w:t>
      </w:r>
      <w:r>
        <w:rPr>
          <w:rStyle w:val="VerbatimChar"/>
        </w:rPr>
        <w:t xml:space="preserve">FCT_SALES</w:t>
      </w:r>
      <w:r>
        <w:t xml:space="preserve"> </w:t>
      </w:r>
      <w:r>
        <w:t xml:space="preserve">dans Snowsight ; la description de la table a été proposée par la fonction de documentation automatique de Snowflake.</w:t>
      </w:r>
    </w:p>
    <w:p>
      <w:pPr>
        <w:pStyle w:val="CaptionedFigure"/>
      </w:pPr>
      <w:r>
        <w:drawing>
          <wp:inline>
            <wp:extent cx="5753100" cy="3082125"/>
            <wp:effectExtent b="0" l="0" r="0" t="0"/>
            <wp:docPr descr="Nombre de lignes par table dans les trois schémas" title="" id="113" name="Picture"/>
            <a:graphic>
              <a:graphicData uri="http://schemas.openxmlformats.org/drawingml/2006/picture">
                <pic:pic>
                  <pic:nvPicPr>
                    <pic:cNvPr descr="../../captures/Capture17.png" id="114" name="Picture"/>
                    <pic:cNvPicPr>
                      <a:picLocks noChangeArrowheads="1" noChangeAspect="1"/>
                    </pic:cNvPicPr>
                  </pic:nvPicPr>
                  <pic:blipFill>
                    <a:blip r:embed="rId112"/>
                    <a:stretch>
                      <a:fillRect/>
                    </a:stretch>
                  </pic:blipFill>
                  <pic:spPr bwMode="auto">
                    <a:xfrm>
                      <a:off x="0" y="0"/>
                      <a:ext cx="5753100" cy="3082125"/>
                    </a:xfrm>
                    <a:prstGeom prst="rect">
                      <a:avLst/>
                    </a:prstGeom>
                    <a:noFill/>
                    <a:ln w="9525">
                      <a:noFill/>
                      <a:headEnd/>
                      <a:tailEnd/>
                    </a:ln>
                  </pic:spPr>
                </pic:pic>
              </a:graphicData>
            </a:graphic>
          </wp:inline>
        </w:drawing>
      </w:r>
    </w:p>
    <w:p>
      <w:pPr>
        <w:pStyle w:val="ImageCaption"/>
      </w:pPr>
      <w:r>
        <w:rPr>
          <w:bCs/>
          <w:b/>
        </w:rPr>
        <w:t xml:space="preserve">Figure 3.14</w:t>
      </w:r>
      <w:r>
        <w:t xml:space="preserve"> – Nombre de lignes par table dans les trois schémas</w:t>
      </w:r>
    </w:p>
    <w:p>
      <w:pPr>
        <w:pStyle w:val="CaptionedFigure"/>
      </w:pPr>
      <w:r>
        <w:drawing>
          <wp:inline>
            <wp:extent cx="5753100" cy="3082125"/>
            <wp:effectExtent b="0" l="0" r="0" t="0"/>
            <wp:docPr descr="Aperçu de la table FCT_SALES dans Snowsight" title="" id="116" name="Picture"/>
            <a:graphic>
              <a:graphicData uri="http://schemas.openxmlformats.org/drawingml/2006/picture">
                <pic:pic>
                  <pic:nvPicPr>
                    <pic:cNvPr descr="figures/snowsight_fct_sales.png" id="117" name="Picture"/>
                    <pic:cNvPicPr>
                      <a:picLocks noChangeArrowheads="1" noChangeAspect="1"/>
                    </pic:cNvPicPr>
                  </pic:nvPicPr>
                  <pic:blipFill>
                    <a:blip r:embed="rId115"/>
                    <a:stretch>
                      <a:fillRect/>
                    </a:stretch>
                  </pic:blipFill>
                  <pic:spPr bwMode="auto">
                    <a:xfrm>
                      <a:off x="0" y="0"/>
                      <a:ext cx="5753100" cy="3082125"/>
                    </a:xfrm>
                    <a:prstGeom prst="rect">
                      <a:avLst/>
                    </a:prstGeom>
                    <a:noFill/>
                    <a:ln w="9525">
                      <a:noFill/>
                      <a:headEnd/>
                      <a:tailEnd/>
                    </a:ln>
                  </pic:spPr>
                </pic:pic>
              </a:graphicData>
            </a:graphic>
          </wp:inline>
        </w:drawing>
      </w:r>
    </w:p>
    <w:p>
      <w:pPr>
        <w:pStyle w:val="ImageCaption"/>
      </w:pPr>
      <w:r>
        <w:rPr>
          <w:bCs/>
          <w:b/>
        </w:rPr>
        <w:t xml:space="preserve">Figure 3.15</w:t>
      </w:r>
      <w:r>
        <w:t xml:space="preserve"> – Aperçu de la table</w:t>
      </w:r>
      <w:r>
        <w:t xml:space="preserve"> </w:t>
      </w:r>
      <w:r>
        <w:rPr>
          <w:rStyle w:val="VerbatimChar"/>
        </w:rPr>
        <w:t xml:space="preserve">FCT_SALES</w:t>
      </w:r>
      <w:r>
        <w:t xml:space="preserve"> </w:t>
      </w:r>
      <w:r>
        <w:t xml:space="preserve">dans Snowsight</w:t>
      </w:r>
    </w:p>
    <w:bookmarkEnd w:id="118"/>
    <w:bookmarkEnd w:id="119"/>
    <w:bookmarkStart w:id="148" w:name="application-text-to-sql-wwi-insight"/>
    <w:p>
      <w:pPr>
        <w:pStyle w:val="Heading2"/>
      </w:pPr>
      <w:r>
        <w:rPr>
          <w:rStyle w:val="SectionNumber"/>
        </w:rPr>
        <w:t xml:space="preserve">3.6</w:t>
      </w:r>
      <w:r>
        <w:tab/>
      </w:r>
      <w:r>
        <w:t xml:space="preserve">Application Text-to-SQL WWI Insight</w:t>
      </w:r>
    </w:p>
    <w:bookmarkStart w:id="123" w:name="organisation-du-code"/>
    <w:p>
      <w:pPr>
        <w:pStyle w:val="Heading3"/>
      </w:pPr>
      <w:r>
        <w:rPr>
          <w:rStyle w:val="SectionNumber"/>
        </w:rPr>
        <w:t xml:space="preserve">3.6.1</w:t>
      </w:r>
      <w:r>
        <w:tab/>
      </w:r>
      <w:r>
        <w:t xml:space="preserve">Organisation du code</w:t>
      </w:r>
    </w:p>
    <w:p>
      <w:pPr>
        <w:pStyle w:val="FirstParagraph"/>
      </w:pPr>
      <w:r>
        <w:t xml:space="preserve">L’application est écrite avec Streamlit et répartie en modules courts :</w:t>
      </w:r>
    </w:p>
    <w:p>
      <w:pPr>
        <w:numPr>
          <w:ilvl w:val="0"/>
          <w:numId w:val="1007"/>
        </w:numPr>
        <w:pStyle w:val="Compact"/>
      </w:pPr>
      <w:r>
        <w:rPr>
          <w:rStyle w:val="VerbatimChar"/>
        </w:rPr>
        <w:t xml:space="preserve">settings.py</w:t>
      </w:r>
      <w:r>
        <w:t xml:space="preserve"> </w:t>
      </w:r>
      <w:r>
        <w:t xml:space="preserve">lit la configuration dans les variables d’environnement ;</w:t>
      </w:r>
    </w:p>
    <w:p>
      <w:pPr>
        <w:numPr>
          <w:ilvl w:val="0"/>
          <w:numId w:val="1007"/>
        </w:numPr>
        <w:pStyle w:val="Compact"/>
      </w:pPr>
      <w:r>
        <w:rPr>
          <w:rStyle w:val="VerbatimChar"/>
        </w:rPr>
        <w:t xml:space="preserve">warehouse.py</w:t>
      </w:r>
      <w:r>
        <w:t xml:space="preserve"> </w:t>
      </w:r>
      <w:r>
        <w:t xml:space="preserve">génère, contrôle et exécute le SQL ;</w:t>
      </w:r>
    </w:p>
    <w:p>
      <w:pPr>
        <w:numPr>
          <w:ilvl w:val="0"/>
          <w:numId w:val="1007"/>
        </w:numPr>
        <w:pStyle w:val="Compact"/>
      </w:pPr>
      <w:r>
        <w:rPr>
          <w:rStyle w:val="VerbatimChar"/>
        </w:rPr>
        <w:t xml:space="preserve">users_db.py</w:t>
      </w:r>
      <w:r>
        <w:t xml:space="preserve"> </w:t>
      </w:r>
      <w:r>
        <w:t xml:space="preserve">gère les comptes, les sessions, les dossiers et les analyses dans une base SQLite, séparée de l’entrepôt ;</w:t>
      </w:r>
    </w:p>
    <w:p>
      <w:pPr>
        <w:numPr>
          <w:ilvl w:val="0"/>
          <w:numId w:val="1007"/>
        </w:numPr>
        <w:pStyle w:val="Compact"/>
      </w:pPr>
      <w:r>
        <w:rPr>
          <w:rStyle w:val="VerbatimChar"/>
        </w:rPr>
        <w:t xml:space="preserve">session.py</w:t>
      </w:r>
      <w:r>
        <w:t xml:space="preserve"> </w:t>
      </w:r>
      <w:r>
        <w:t xml:space="preserve">gère la navigation et la session persistante ;</w:t>
      </w:r>
    </w:p>
    <w:p>
      <w:pPr>
        <w:numPr>
          <w:ilvl w:val="0"/>
          <w:numId w:val="1007"/>
        </w:numPr>
        <w:pStyle w:val="Compact"/>
      </w:pPr>
      <w:r>
        <w:rPr>
          <w:rStyle w:val="VerbatimChar"/>
        </w:rPr>
        <w:t xml:space="preserve">views/</w:t>
      </w:r>
      <w:r>
        <w:t xml:space="preserve"> </w:t>
      </w:r>
      <w:r>
        <w:t xml:space="preserve">contient une page par fichier : accueil, connexion, espace d’analyse, à propos.</w:t>
      </w:r>
    </w:p>
    <w:p>
      <w:pPr>
        <w:pStyle w:val="FirstParagraph"/>
      </w:pPr>
      <w:r>
        <w:t xml:space="preserve">Elle fonctionne sur Snowflake comme sur DuckDB : si les identifiants Snowflake sont présents, elle se connecte au schéma</w:t>
      </w:r>
      <w:r>
        <w:t xml:space="preserve"> </w:t>
      </w:r>
      <w:r>
        <w:rPr>
          <w:rStyle w:val="VerbatimChar"/>
        </w:rPr>
        <w:t xml:space="preserve">GOLD</w:t>
      </w:r>
      <w:r>
        <w:t xml:space="preserve"> </w:t>
      </w:r>
      <w:r>
        <w:t xml:space="preserve">avec le rôle</w:t>
      </w:r>
      <w:r>
        <w:t xml:space="preserve"> </w:t>
      </w:r>
      <w:r>
        <w:rPr>
          <w:rStyle w:val="VerbatimChar"/>
        </w:rPr>
        <w:t xml:space="preserve">PFPB_ROLE</w:t>
      </w:r>
      <w:r>
        <w:t xml:space="preserve"> </w:t>
      </w:r>
      <w:r>
        <w:t xml:space="preserve">; sinon, elle ouvre le fichier DuckDB local en lecture seule. La page d’accueil affiche quelques chiffres clés calculés directement sur la couche Gold (figure 3.16).</w:t>
      </w:r>
    </w:p>
    <w:p>
      <w:pPr>
        <w:pStyle w:val="CaptionedFigure"/>
      </w:pPr>
      <w:r>
        <w:drawing>
          <wp:inline>
            <wp:extent cx="5753100" cy="3421248"/>
            <wp:effectExtent b="0" l="0" r="0" t="0"/>
            <wp:docPr descr="Page d’accueil connectée à Snowflake" title="" id="121" name="Picture"/>
            <a:graphic>
              <a:graphicData uri="http://schemas.openxmlformats.org/drawingml/2006/picture">
                <pic:pic>
                  <pic:nvPicPr>
                    <pic:cNvPr descr="../../captures/Capture20.png" id="122" name="Picture"/>
                    <pic:cNvPicPr>
                      <a:picLocks noChangeArrowheads="1" noChangeAspect="1"/>
                    </pic:cNvPicPr>
                  </pic:nvPicPr>
                  <pic:blipFill>
                    <a:blip r:embed="rId120"/>
                    <a:stretch>
                      <a:fillRect/>
                    </a:stretch>
                  </pic:blipFill>
                  <pic:spPr bwMode="auto">
                    <a:xfrm>
                      <a:off x="0" y="0"/>
                      <a:ext cx="5753100" cy="3421248"/>
                    </a:xfrm>
                    <a:prstGeom prst="rect">
                      <a:avLst/>
                    </a:prstGeom>
                    <a:noFill/>
                    <a:ln w="9525">
                      <a:noFill/>
                      <a:headEnd/>
                      <a:tailEnd/>
                    </a:ln>
                  </pic:spPr>
                </pic:pic>
              </a:graphicData>
            </a:graphic>
          </wp:inline>
        </w:drawing>
      </w:r>
    </w:p>
    <w:p>
      <w:pPr>
        <w:pStyle w:val="ImageCaption"/>
      </w:pPr>
      <w:r>
        <w:rPr>
          <w:bCs/>
          <w:b/>
        </w:rPr>
        <w:t xml:space="preserve">Figure 3.16</w:t>
      </w:r>
      <w:r>
        <w:t xml:space="preserve"> – Page d’accueil connectée à Snowflake</w:t>
      </w:r>
    </w:p>
    <w:bookmarkEnd w:id="123"/>
    <w:bookmarkStart w:id="125" w:name="consigne-transmise-au-modèle"/>
    <w:p>
      <w:pPr>
        <w:pStyle w:val="Heading3"/>
      </w:pPr>
      <w:r>
        <w:rPr>
          <w:rStyle w:val="SectionNumber"/>
        </w:rPr>
        <w:t xml:space="preserve">3.6.2</w:t>
      </w:r>
      <w:r>
        <w:tab/>
      </w:r>
      <w:r>
        <w:t xml:space="preserve">Consigne transmise au modèle</w:t>
      </w:r>
    </w:p>
    <w:p>
      <w:pPr>
        <w:pStyle w:val="FirstParagraph"/>
      </w:pPr>
      <w:r>
        <w:t xml:space="preserve">La qualité du SQL produit dépend surtout de la consigne. Celle de l’application est courte.</w:t>
      </w:r>
    </w:p>
    <w:p>
      <w:pPr>
        <w:pStyle w:val="BodyText"/>
      </w:pPr>
      <w:r>
        <w:rPr>
          <w:bCs/>
          <w:b/>
        </w:rPr>
        <w:t xml:space="preserve">Code 3.12</w:t>
      </w:r>
      <w:r>
        <w:t xml:space="preserve"> – Consigne envoyée au modèle de langage (presentation_app/warehouse.py)</w:t>
      </w:r>
    </w:p>
    <w:bookmarkStart w:id="124" w:name="code:prompt"/>
    <w:p>
      <w:pPr>
        <w:pStyle w:val="SourceCode"/>
      </w:pPr>
      <w:r>
        <w:rPr>
          <w:rStyle w:val="NormalTok"/>
        </w:rPr>
        <w:t xml:space="preserve"> </w:t>
      </w:r>
      <w:r>
        <w:rPr>
          <w:rStyle w:val="DecValTok"/>
        </w:rPr>
        <w:t xml:space="preserve">1</w:t>
      </w:r>
      <w:r>
        <w:rPr>
          <w:rStyle w:val="NormalTok"/>
        </w:rPr>
        <w:t xml:space="preserve">  PROMPT </w:t>
      </w:r>
      <w:r>
        <w:rPr>
          <w:rStyle w:val="OperatorTok"/>
        </w:rPr>
        <w:t xml:space="preserve">=</w:t>
      </w:r>
      <w:r>
        <w:rPr>
          <w:rStyle w:val="NormalTok"/>
        </w:rPr>
        <w:t xml:space="preserve"> </w:t>
      </w:r>
      <w:r>
        <w:rPr>
          <w:rStyle w:val="StringTok"/>
        </w:rPr>
        <w:t xml:space="preserve">"""Tu es un expert SQL </w:t>
      </w:r>
      <w:r>
        <w:rPr>
          <w:rStyle w:val="SpecialCharTok"/>
        </w:rPr>
        <w:t xml:space="preserve">{dialect}</w:t>
      </w:r>
      <w:r>
        <w:rPr>
          <w:rStyle w:val="StringTok"/>
        </w:rPr>
        <w:t xml:space="preserve">. Tu réponds aux questions sur l'entreprise</w:t>
      </w:r>
      <w:r>
        <w:br/>
      </w:r>
      <w:r>
        <w:rPr>
          <w:rStyle w:val="StringTok"/>
        </w:rPr>
        <w:t xml:space="preserve"> 2  Wide World Importers à partir de ce schéma (couche GOLD) :</w:t>
      </w:r>
      <w:r>
        <w:br/>
      </w:r>
      <w:r>
        <w:rPr>
          <w:rStyle w:val="StringTok"/>
        </w:rPr>
        <w:t xml:space="preserve"> 3  </w:t>
      </w:r>
      <w:r>
        <w:br/>
      </w:r>
      <w:r>
        <w:rPr>
          <w:rStyle w:val="StringTok"/>
        </w:rPr>
        <w:t xml:space="preserve"> 4  </w:t>
      </w:r>
      <w:r>
        <w:rPr>
          <w:rStyle w:val="SpecialCharTok"/>
        </w:rPr>
        <w:t xml:space="preserve">{schema}</w:t>
      </w:r>
      <w:r>
        <w:br/>
      </w:r>
      <w:r>
        <w:rPr>
          <w:rStyle w:val="StringTok"/>
        </w:rPr>
        <w:t xml:space="preserve"> 5  </w:t>
      </w:r>
      <w:r>
        <w:br/>
      </w:r>
      <w:r>
        <w:rPr>
          <w:rStyle w:val="StringTok"/>
        </w:rPr>
        <w:t xml:space="preserve"> 6  Règles :</w:t>
      </w:r>
      <w:r>
        <w:br/>
      </w:r>
      <w:r>
        <w:rPr>
          <w:rStyle w:val="StringTok"/>
        </w:rPr>
        <w:t xml:space="preserve"> 7  - une seule requête SELECT, uniquement sur les tables gold ci-dessus ;</w:t>
      </w:r>
      <w:r>
        <w:br/>
      </w:r>
      <w:r>
        <w:rPr>
          <w:rStyle w:val="StringTok"/>
        </w:rPr>
        <w:t xml:space="preserve"> 8  - chiffre d'affaires = sum(sales_amount_excl_tax) de gold.fct_sales ;</w:t>
      </w:r>
      <w:r>
        <w:br/>
      </w:r>
      <w:r>
        <w:rPr>
          <w:rStyle w:val="StringTok"/>
        </w:rPr>
        <w:t xml:space="preserve"> 9  - bénéfice = sum(line_profit) de gold.fct_invoice_lines ;</w:t>
      </w:r>
      <w:r>
        <w:br/>
      </w:r>
      <w:r>
        <w:rPr>
          <w:rStyle w:val="StringTok"/>
        </w:rPr>
        <w:t xml:space="preserve">10  - noms de colonnes de résultat en français et en snake_case ;</w:t>
      </w:r>
      <w:r>
        <w:br/>
      </w:r>
      <w:r>
        <w:rPr>
          <w:rStyle w:val="StringTok"/>
        </w:rPr>
        <w:t xml:space="preserve">11  - </w:t>
      </w:r>
      <w:r>
        <w:rPr>
          <w:rStyle w:val="SpecialCharTok"/>
        </w:rPr>
        <w:t xml:space="preserve">{max_rows}</w:t>
      </w:r>
      <w:r>
        <w:rPr>
          <w:rStyle w:val="StringTok"/>
        </w:rPr>
        <w:t xml:space="preserve"> lignes maximum.</w:t>
      </w:r>
      <w:r>
        <w:br/>
      </w:r>
      <w:r>
        <w:rPr>
          <w:rStyle w:val="StringTok"/>
        </w:rPr>
        <w:t xml:space="preserve">12  Réponds uniquement avec le SQL, sans explication ni balise.</w:t>
      </w:r>
      <w:r>
        <w:br/>
      </w:r>
      <w:r>
        <w:rPr>
          <w:rStyle w:val="StringTok"/>
        </w:rPr>
        <w:t xml:space="preserve">13  </w:t>
      </w:r>
      <w:r>
        <w:br/>
      </w:r>
      <w:r>
        <w:rPr>
          <w:rStyle w:val="StringTok"/>
        </w:rPr>
        <w:t xml:space="preserve">14  Question : </w:t>
      </w:r>
      <w:r>
        <w:rPr>
          <w:rStyle w:val="SpecialCharTok"/>
        </w:rPr>
        <w:t xml:space="preserve">{question}</w:t>
      </w:r>
      <w:r>
        <w:rPr>
          <w:rStyle w:val="StringTok"/>
        </w:rPr>
        <w:t xml:space="preserve">"""</w:t>
      </w:r>
    </w:p>
    <w:bookmarkEnd w:id="124"/>
    <w:p>
      <w:pPr>
        <w:pStyle w:val="FirstParagraph"/>
      </w:pPr>
      <w:r>
        <w:t xml:space="preserve">Le dialecte (ligne 1) vaut</w:t>
      </w:r>
      <w:r>
        <w:t xml:space="preserve"> </w:t>
      </w:r>
      <w:r>
        <w:rPr>
          <w:rStyle w:val="VerbatimChar"/>
        </w:rPr>
        <w:t xml:space="preserve">Snowflake</w:t>
      </w:r>
      <w:r>
        <w:t xml:space="preserve"> </w:t>
      </w:r>
      <w:r>
        <w:t xml:space="preserve">ou</w:t>
      </w:r>
      <w:r>
        <w:t xml:space="preserve"> </w:t>
      </w:r>
      <w:r>
        <w:rPr>
          <w:rStyle w:val="VerbatimChar"/>
        </w:rPr>
        <w:t xml:space="preserve">DuckDB</w:t>
      </w:r>
      <w:r>
        <w:t xml:space="preserve">, les deux n’ayant pas exactement les mêmes fonctions de date. Le schéma (ligne 4) n’est pas écrit à la main : il est lu dans</w:t>
      </w:r>
      <w:r>
        <w:t xml:space="preserve"> </w:t>
      </w:r>
      <w:r>
        <w:rPr>
          <w:rStyle w:val="VerbatimChar"/>
        </w:rPr>
        <w:t xml:space="preserve">information_schema.columns</w:t>
      </w:r>
      <w:r>
        <w:t xml:space="preserve"> </w:t>
      </w:r>
      <w:r>
        <w:t xml:space="preserve">au démarrage, puis réduit à une ligne par table avec des types simplifiés (</w:t>
      </w:r>
      <w:r>
        <w:rPr>
          <w:rStyle w:val="VerbatimChar"/>
        </w:rPr>
        <w:t xml:space="preserve">texte</w:t>
      </w:r>
      <w:r>
        <w:t xml:space="preserve">,</w:t>
      </w:r>
      <w:r>
        <w:t xml:space="preserve"> </w:t>
      </w:r>
      <w:r>
        <w:rPr>
          <w:rStyle w:val="VerbatimChar"/>
        </w:rPr>
        <w:t xml:space="preserve">nombre</w:t>
      </w:r>
      <w:r>
        <w:t xml:space="preserve">,</w:t>
      </w:r>
      <w:r>
        <w:t xml:space="preserve"> </w:t>
      </w:r>
      <w:r>
        <w:rPr>
          <w:rStyle w:val="VerbatimChar"/>
        </w:rPr>
        <w:t xml:space="preserve">date</w:t>
      </w:r>
      <w:r>
        <w:t xml:space="preserve">). Une consigne plus courte est traitée plus vite par un modèle local. Les lignes 8 et 9 fixent les deux définitions métier. Sans elles, le modèle doit deviner quelle table de faits utiliser : il pourrait calculer le chiffre d’affaires à partir des factures, ou chercher un bénéfice dans</w:t>
      </w:r>
      <w:r>
        <w:t xml:space="preserve"> </w:t>
      </w:r>
      <w:r>
        <w:rPr>
          <w:rStyle w:val="VerbatimChar"/>
        </w:rPr>
        <w:t xml:space="preserve">fct_sales</w:t>
      </w:r>
      <w:r>
        <w:t xml:space="preserve">, qui n’en contient pas.</w:t>
      </w:r>
    </w:p>
    <w:bookmarkEnd w:id="125"/>
    <w:bookmarkStart w:id="127" w:name="choix-du-moteur-de-génération"/>
    <w:p>
      <w:pPr>
        <w:pStyle w:val="Heading3"/>
      </w:pPr>
      <w:r>
        <w:rPr>
          <w:rStyle w:val="SectionNumber"/>
        </w:rPr>
        <w:t xml:space="preserve">3.6.3</w:t>
      </w:r>
      <w:r>
        <w:tab/>
      </w:r>
      <w:r>
        <w:t xml:space="preserve">Choix du moteur de génération</w:t>
      </w:r>
    </w:p>
    <w:p>
      <w:pPr>
        <w:pStyle w:val="FirstParagraph"/>
      </w:pPr>
      <w:r>
        <w:t xml:space="preserve">Le compte d’essai Snowflake refuse l’appel à</w:t>
      </w:r>
      <w:r>
        <w:t xml:space="preserve"> </w:t>
      </w:r>
      <w:r>
        <w:rPr>
          <w:rStyle w:val="VerbatimChar"/>
        </w:rPr>
        <w:t xml:space="preserve">SNOWFLAKE.CORTEX.COMPLETE</w:t>
      </w:r>
      <w:r>
        <w:t xml:space="preserve">. Plutôt que de lier l’application à un seul moteur, nous la faisons choisir au démarrage.</w:t>
      </w:r>
    </w:p>
    <w:p>
      <w:pPr>
        <w:pStyle w:val="BodyText"/>
      </w:pPr>
      <w:r>
        <w:rPr>
          <w:bCs/>
          <w:b/>
        </w:rPr>
        <w:t xml:space="preserve">Code 3.13</w:t>
      </w:r>
      <w:r>
        <w:t xml:space="preserve"> – Sélection du moteur de génération (warehouse.py)</w:t>
      </w:r>
    </w:p>
    <w:bookmarkStart w:id="126" w:name="code:generator"/>
    <w:p>
      <w:pPr>
        <w:pStyle w:val="SourceCode"/>
      </w:pP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st.cache_data(ttl</w:t>
      </w:r>
      <w:r>
        <w:rPr>
          <w:rStyle w:val="OperatorTok"/>
        </w:rPr>
        <w:t xml:space="preserve">=</w:t>
      </w:r>
      <w:r>
        <w:rPr>
          <w:rStyle w:val="DecValTok"/>
        </w:rPr>
        <w:t xml:space="preserve">600</w:t>
      </w:r>
      <w:r>
        <w:rPr>
          <w:rStyle w:val="NormalTok"/>
        </w:rPr>
        <w:t xml:space="preserve">, show_spinner</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DecValTok"/>
        </w:rPr>
        <w:t xml:space="preserve">2</w:t>
      </w:r>
      <w:r>
        <w:rPr>
          <w:rStyle w:val="NormalTok"/>
        </w:rPr>
        <w:t xml:space="preserve">  </w:t>
      </w:r>
      <w:r>
        <w:rPr>
          <w:rStyle w:val="KeywordTok"/>
        </w:rPr>
        <w:t xml:space="preserve">def</w:t>
      </w:r>
      <w:r>
        <w:rPr>
          <w:rStyle w:val="NormalTok"/>
        </w:rPr>
        <w:t xml:space="preserve"> generator() </w:t>
      </w:r>
      <w:r>
        <w:rPr>
          <w:rStyle w:val="OperatorTok"/>
        </w:rPr>
        <w:t xml:space="preserve">-&gt;</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3</w:t>
      </w:r>
      <w:r>
        <w:rPr>
          <w:rStyle w:val="NormalTok"/>
        </w:rPr>
        <w:t xml:space="preserve">      </w:t>
      </w:r>
      <w:r>
        <w:rPr>
          <w:rStyle w:val="StringTok"/>
        </w:rPr>
        <w:t xml:space="preserve">"""Moteur de génération utilisé : "cortex", "ollama" ou None (exemples seulement)."""</w:t>
      </w:r>
      <w:r>
        <w:br/>
      </w:r>
      <w:r>
        <w:rPr>
          <w:rStyle w:val="NormalTok"/>
        </w:rPr>
        <w:t xml:space="preserve"> </w:t>
      </w:r>
      <w:r>
        <w:rPr>
          <w:rStyle w:val="DecValTok"/>
        </w:rPr>
        <w:t xml:space="preserve">4</w:t>
      </w:r>
      <w:r>
        <w:rPr>
          <w:rStyle w:val="NormalTok"/>
        </w:rPr>
        <w:t xml:space="preserve">      </w:t>
      </w:r>
      <w:r>
        <w:rPr>
          <w:rStyle w:val="ControlFlowTok"/>
        </w:rPr>
        <w:t xml:space="preserve">if</w:t>
      </w:r>
      <w:r>
        <w:rPr>
          <w:rStyle w:val="NormalTok"/>
        </w:rPr>
        <w:t xml:space="preserve"> SQL_GENERATOR </w:t>
      </w:r>
      <w:r>
        <w:rPr>
          <w:rStyle w:val="KeywordTok"/>
        </w:rPr>
        <w:t xml:space="preserve">in</w:t>
      </w:r>
      <w:r>
        <w:rPr>
          <w:rStyle w:val="NormalTok"/>
        </w:rPr>
        <w:t xml:space="preserve"> (</w:t>
      </w:r>
      <w:r>
        <w:rPr>
          <w:rStyle w:val="StringTok"/>
        </w:rPr>
        <w:t xml:space="preserve">"cortex"</w:t>
      </w:r>
      <w:r>
        <w:rPr>
          <w:rStyle w:val="NormalTok"/>
        </w:rPr>
        <w:t xml:space="preserve">, </w:t>
      </w:r>
      <w:r>
        <w:rPr>
          <w:rStyle w:val="StringTok"/>
        </w:rPr>
        <w:t xml:space="preserve">"ollama"</w:t>
      </w:r>
      <w:r>
        <w:rPr>
          <w:rStyle w:val="NormalTok"/>
        </w:rPr>
        <w:t xml:space="preserve">):</w:t>
      </w:r>
      <w:r>
        <w:br/>
      </w:r>
      <w:r>
        <w:rPr>
          <w:rStyle w:val="NormalTok"/>
        </w:rPr>
        <w:t xml:space="preserve"> </w:t>
      </w:r>
      <w:r>
        <w:rPr>
          <w:rStyle w:val="DecValTok"/>
        </w:rPr>
        <w:t xml:space="preserve">5</w:t>
      </w:r>
      <w:r>
        <w:rPr>
          <w:rStyle w:val="NormalTok"/>
        </w:rPr>
        <w:t xml:space="preserve">          </w:t>
      </w:r>
      <w:r>
        <w:rPr>
          <w:rStyle w:val="ControlFlowTok"/>
        </w:rPr>
        <w:t xml:space="preserve">return</w:t>
      </w:r>
      <w:r>
        <w:rPr>
          <w:rStyle w:val="NormalTok"/>
        </w:rPr>
        <w:t xml:space="preserve"> SQL_GENERATOR</w:t>
      </w:r>
      <w:r>
        <w:br/>
      </w:r>
      <w:r>
        <w:rPr>
          <w:rStyle w:val="NormalTok"/>
        </w:rPr>
        <w:t xml:space="preserve"> </w:t>
      </w:r>
      <w:r>
        <w:rPr>
          <w:rStyle w:val="DecValTok"/>
        </w:rPr>
        <w:t xml:space="preserve">6</w:t>
      </w:r>
      <w:r>
        <w:rPr>
          <w:rStyle w:val="NormalTok"/>
        </w:rPr>
        <w:t xml:space="preserve">      </w:t>
      </w:r>
      <w:r>
        <w:rPr>
          <w:rStyle w:val="ControlFlowTok"/>
        </w:rPr>
        <w:t xml:space="preserve">if</w:t>
      </w:r>
      <w:r>
        <w:rPr>
          <w:rStyle w:val="NormalTok"/>
        </w:rPr>
        <w:t xml:space="preserve"> SQL_GENERATOR </w:t>
      </w:r>
      <w:r>
        <w:rPr>
          <w:rStyle w:val="Operato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DecValTok"/>
        </w:rPr>
        <w:t xml:space="preserve">7</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DecValTok"/>
        </w:rPr>
        <w:t xml:space="preserve">8</w:t>
      </w:r>
      <w:r>
        <w:rPr>
          <w:rStyle w:val="NormalTok"/>
        </w:rPr>
        <w:t xml:space="preserve">      </w:t>
      </w:r>
      <w:r>
        <w:rPr>
          <w:rStyle w:val="ControlFlowTok"/>
        </w:rPr>
        <w:t xml:space="preserve">if</w:t>
      </w:r>
      <w:r>
        <w:rPr>
          <w:rStyle w:val="NormalTok"/>
        </w:rPr>
        <w:t xml:space="preserve"> _cortex_available():</w:t>
      </w:r>
      <w:r>
        <w:br/>
      </w:r>
      <w:r>
        <w:rPr>
          <w:rStyle w:val="NormalTok"/>
        </w:rPr>
        <w:t xml:space="preserve"> </w:t>
      </w:r>
      <w:r>
        <w:rPr>
          <w:rStyle w:val="DecValTok"/>
        </w:rPr>
        <w:t xml:space="preserve">9</w:t>
      </w:r>
      <w:r>
        <w:rPr>
          <w:rStyle w:val="NormalTok"/>
        </w:rPr>
        <w:t xml:space="preserve">          </w:t>
      </w:r>
      <w:r>
        <w:rPr>
          <w:rStyle w:val="ControlFlowTok"/>
        </w:rPr>
        <w:t xml:space="preserve">return</w:t>
      </w:r>
      <w:r>
        <w:rPr>
          <w:rStyle w:val="NormalTok"/>
        </w:rPr>
        <w:t xml:space="preserve"> </w:t>
      </w:r>
      <w:r>
        <w:rPr>
          <w:rStyle w:val="StringTok"/>
        </w:rPr>
        <w:t xml:space="preserve">"cortex"</w:t>
      </w:r>
      <w:r>
        <w:br/>
      </w:r>
      <w:r>
        <w:rPr>
          <w:rStyle w:val="DecValTok"/>
        </w:rPr>
        <w:t xml:space="preserve">10</w:t>
      </w:r>
      <w:r>
        <w:rPr>
          <w:rStyle w:val="NormalTok"/>
        </w:rPr>
        <w:t xml:space="preserve">      </w:t>
      </w:r>
      <w:r>
        <w:rPr>
          <w:rStyle w:val="ControlFlowTok"/>
        </w:rPr>
        <w:t xml:space="preserve">if</w:t>
      </w:r>
      <w:r>
        <w:rPr>
          <w:rStyle w:val="NormalTok"/>
        </w:rPr>
        <w:t xml:space="preserve"> _ollama_available():</w:t>
      </w:r>
      <w:r>
        <w:br/>
      </w:r>
      <w:r>
        <w:rPr>
          <w:rStyle w:val="DecValTok"/>
        </w:rPr>
        <w:t xml:space="preserve">11</w:t>
      </w:r>
      <w:r>
        <w:rPr>
          <w:rStyle w:val="NormalTok"/>
        </w:rPr>
        <w:t xml:space="preserve">          </w:t>
      </w:r>
      <w:r>
        <w:rPr>
          <w:rStyle w:val="CommentTok"/>
        </w:rPr>
        <w:t xml:space="preserve"># Préchargement du modèle en arrière-plan : la première question n'attend pas son chargement.</w:t>
      </w:r>
      <w:r>
        <w:br/>
      </w:r>
      <w:r>
        <w:rPr>
          <w:rStyle w:val="DecValTok"/>
        </w:rPr>
        <w:t xml:space="preserve">12</w:t>
      </w:r>
      <w:r>
        <w:rPr>
          <w:rStyle w:val="NormalTok"/>
        </w:rPr>
        <w:t xml:space="preserve">          threading.Thread(target</w:t>
      </w:r>
      <w:r>
        <w:rPr>
          <w:rStyle w:val="OperatorTok"/>
        </w:rPr>
        <w:t xml:space="preserve">=</w:t>
      </w:r>
      <w:r>
        <w:rPr>
          <w:rStyle w:val="NormalTok"/>
        </w:rPr>
        <w:t xml:space="preserve">_warm_up, daemon</w:t>
      </w:r>
      <w:r>
        <w:rPr>
          <w:rStyle w:val="OperatorTok"/>
        </w:rPr>
        <w:t xml:space="preserve">=</w:t>
      </w:r>
      <w:r>
        <w:rPr>
          <w:rStyle w:val="VariableTok"/>
        </w:rPr>
        <w:t xml:space="preserve">True</w:t>
      </w:r>
      <w:r>
        <w:rPr>
          <w:rStyle w:val="NormalTok"/>
        </w:rPr>
        <w:t xml:space="preserve">).start()</w:t>
      </w:r>
      <w:r>
        <w:br/>
      </w:r>
      <w:r>
        <w:rPr>
          <w:rStyle w:val="DecValTok"/>
        </w:rPr>
        <w:t xml:space="preserve">13</w:t>
      </w:r>
      <w:r>
        <w:rPr>
          <w:rStyle w:val="NormalTok"/>
        </w:rPr>
        <w:t xml:space="preserve">          </w:t>
      </w:r>
      <w:r>
        <w:rPr>
          <w:rStyle w:val="ControlFlowTok"/>
        </w:rPr>
        <w:t xml:space="preserve">return</w:t>
      </w:r>
      <w:r>
        <w:rPr>
          <w:rStyle w:val="NormalTok"/>
        </w:rPr>
        <w:t xml:space="preserve"> </w:t>
      </w:r>
      <w:r>
        <w:rPr>
          <w:rStyle w:val="StringTok"/>
        </w:rPr>
        <w:t xml:space="preserve">"ollama"</w:t>
      </w:r>
      <w:r>
        <w:br/>
      </w:r>
      <w:r>
        <w:rPr>
          <w:rStyle w:val="DecValTok"/>
        </w:rPr>
        <w:t xml:space="preserve">14</w:t>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126"/>
    <w:p>
      <w:pPr>
        <w:pStyle w:val="FirstParagraph"/>
      </w:pPr>
      <w:r>
        <w:t xml:space="preserve">La variable</w:t>
      </w:r>
      <w:r>
        <w:t xml:space="preserve"> </w:t>
      </w:r>
      <w:r>
        <w:rPr>
          <w:rStyle w:val="VerbatimChar"/>
        </w:rPr>
        <w:t xml:space="preserve">SQL_GENERATOR</w:t>
      </w:r>
      <w:r>
        <w:t xml:space="preserve"> </w:t>
      </w:r>
      <w:r>
        <w:t xml:space="preserve">permet d’imposer un moteur (lignes 4 à 7). Par défaut, l’application tente un appel minimal à Cortex (ligne 8) ; en cas d’échec, elle vérifie qu’un serveur Ollama tourne sur le poste et qu’il dispose du modèle</w:t>
      </w:r>
      <w:r>
        <w:t xml:space="preserve"> </w:t>
      </w:r>
      <w:r>
        <w:rPr>
          <w:rStyle w:val="VerbatimChar"/>
        </w:rPr>
        <w:t xml:space="preserve">qwen2.5-coder:7b</w:t>
      </w:r>
      <w:r>
        <w:t xml:space="preserve"> </w:t>
      </w:r>
      <w:r>
        <w:t xml:space="preserve">(ligne 10). Sans aucun moteur, seules les questions d’exemple restent disponibles, avec leur SQL écrit à l’avance. Le résultat est gardé en cache dix minutes (ligne 1), pour ne pas refaire ces vérifications à chaque question. La ligne 12 lance une première requête vide en arrière-plan : Ollama charge alors le modèle en mémoire avant que l’utilisateur pose sa première question.</w:t>
      </w:r>
    </w:p>
    <w:p>
      <w:pPr>
        <w:pStyle w:val="BodyText"/>
      </w:pPr>
      <w:r>
        <w:t xml:space="preserve">Le SQL généré est lui aussi mis en cache, par question. Une question déjà posée obtient sa réponse en environ 0,3 s, contre une trentaine de secondes pour une génération par Ollama sur le processeur de notre machine.</w:t>
      </w:r>
    </w:p>
    <w:bookmarkEnd w:id="127"/>
    <w:bookmarkStart w:id="132" w:name="contrôle-des-requêtes"/>
    <w:p>
      <w:pPr>
        <w:pStyle w:val="Heading3"/>
      </w:pPr>
      <w:r>
        <w:rPr>
          <w:rStyle w:val="SectionNumber"/>
        </w:rPr>
        <w:t xml:space="preserve">3.6.4</w:t>
      </w:r>
      <w:r>
        <w:tab/>
      </w:r>
      <w:r>
        <w:t xml:space="preserve">Contrôle des requêtes</w:t>
      </w:r>
    </w:p>
    <w:p>
      <w:pPr>
        <w:pStyle w:val="FirstParagraph"/>
      </w:pPr>
      <w:r>
        <w:t xml:space="preserve">Une requête produite par un modèle de langage ne peut pas être exécutée telle quelle : le modèle peut ajouter du texte autour du SQL, produire plusieurs instructions ou, sur une question mal formulée, proposer une modification des données. Chaque requête passe donc par la fonction</w:t>
      </w:r>
      <w:r>
        <w:t xml:space="preserve"> </w:t>
      </w:r>
      <w:r>
        <w:rPr>
          <w:rStyle w:val="VerbatimChar"/>
        </w:rPr>
        <w:t xml:space="preserve">clean_sql</w:t>
      </w:r>
      <w:r>
        <w:t xml:space="preserve">.</w:t>
      </w:r>
    </w:p>
    <w:p>
      <w:pPr>
        <w:pStyle w:val="BodyText"/>
      </w:pPr>
      <w:r>
        <w:rPr>
          <w:bCs/>
          <w:b/>
        </w:rPr>
        <w:t xml:space="preserve">Code 3.14</w:t>
      </w:r>
      <w:r>
        <w:t xml:space="preserve"> – Contrôle d'une requête avant exécution (warehouse.py)</w:t>
      </w:r>
    </w:p>
    <w:bookmarkStart w:id="128" w:name="code:clean"/>
    <w:p>
      <w:pPr>
        <w:pStyle w:val="SourceCode"/>
      </w:pPr>
      <w:r>
        <w:rPr>
          <w:rStyle w:val="NormalTok"/>
        </w:rPr>
        <w:t xml:space="preserve"> </w:t>
      </w:r>
      <w:r>
        <w:rPr>
          <w:rStyle w:val="DecValTok"/>
        </w:rPr>
        <w:t xml:space="preserve">1</w:t>
      </w:r>
      <w:r>
        <w:rPr>
          <w:rStyle w:val="NormalTok"/>
        </w:rPr>
        <w:t xml:space="preserve">  FORBIDDEN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DecValTok"/>
        </w:rPr>
        <w:t xml:space="preserve">2</w:t>
      </w:r>
      <w:r>
        <w:rPr>
          <w:rStyle w:val="NormalTok"/>
        </w:rPr>
        <w:t xml:space="preserve">      </w:t>
      </w:r>
      <w:r>
        <w:rPr>
          <w:rStyle w:val="VerbatimStringTok"/>
        </w:rPr>
        <w:t xml:space="preserve">r"\b(insert|update|delete|merge|drop|alter|create|truncate|grant|revoke|"</w:t>
      </w:r>
      <w:r>
        <w:br/>
      </w:r>
      <w:r>
        <w:rPr>
          <w:rStyle w:val="NormalTok"/>
        </w:rPr>
        <w:t xml:space="preserve"> </w:t>
      </w:r>
      <w:r>
        <w:rPr>
          <w:rStyle w:val="DecValTok"/>
        </w:rPr>
        <w:t xml:space="preserve">3</w:t>
      </w:r>
      <w:r>
        <w:rPr>
          <w:rStyle w:val="NormalTok"/>
        </w:rPr>
        <w:t xml:space="preserve">      </w:t>
      </w:r>
      <w:r>
        <w:rPr>
          <w:rStyle w:val="VerbatimStringTok"/>
        </w:rPr>
        <w:t xml:space="preserve">r"copy|put|call|execute|attach|detach|install|pragma)\b"</w:t>
      </w:r>
      <w:r>
        <w:rPr>
          <w:rStyle w:val="NormalTok"/>
        </w:rPr>
        <w:t xml:space="preserve">,</w:t>
      </w:r>
      <w:r>
        <w:br/>
      </w:r>
      <w:r>
        <w:rPr>
          <w:rStyle w:val="NormalTok"/>
        </w:rPr>
        <w:t xml:space="preserve"> </w:t>
      </w:r>
      <w:r>
        <w:rPr>
          <w:rStyle w:val="DecValTok"/>
        </w:rPr>
        <w:t xml:space="preserve">4</w:t>
      </w:r>
      <w:r>
        <w:rPr>
          <w:rStyle w:val="NormalTok"/>
        </w:rPr>
        <w:t xml:space="preserve">      re.IGNORECASE,</w:t>
      </w:r>
      <w:r>
        <w:br/>
      </w:r>
      <w:r>
        <w:rPr>
          <w:rStyle w:val="NormalTok"/>
        </w:rPr>
        <w:t xml:space="preserve"> </w:t>
      </w:r>
      <w:r>
        <w:rPr>
          <w:rStyle w:val="DecValTok"/>
        </w:rPr>
        <w:t xml:space="preserve">5</w:t>
      </w:r>
      <w:r>
        <w:rPr>
          <w:rStyle w:val="NormalTok"/>
        </w:rPr>
        <w:t xml:space="preserve">  )</w:t>
      </w:r>
      <w:r>
        <w:br/>
      </w:r>
      <w:r>
        <w:rPr>
          <w:rStyle w:val="NormalTok"/>
        </w:rPr>
        <w:t xml:space="preserve"> </w:t>
      </w:r>
      <w:r>
        <w:rPr>
          <w:rStyle w:val="DecValTok"/>
        </w:rPr>
        <w:t xml:space="preserve">6</w:t>
      </w:r>
      <w:r>
        <w:rPr>
          <w:rStyle w:val="NormalTok"/>
        </w:rPr>
        <w:t xml:space="preserve">  </w:t>
      </w:r>
      <w:r>
        <w:br/>
      </w:r>
      <w:r>
        <w:rPr>
          <w:rStyle w:val="NormalTok"/>
        </w:rPr>
        <w:t xml:space="preserve"> </w:t>
      </w:r>
      <w:r>
        <w:rPr>
          <w:rStyle w:val="DecValTok"/>
        </w:rPr>
        <w:t xml:space="preserve">7</w:t>
      </w:r>
      <w:r>
        <w:rPr>
          <w:rStyle w:val="NormalTok"/>
        </w:rPr>
        <w:t xml:space="preserve">  </w:t>
      </w:r>
      <w:r>
        <w:rPr>
          <w:rStyle w:val="KeywordTok"/>
        </w:rPr>
        <w:t xml:space="preserve">def</w:t>
      </w:r>
      <w:r>
        <w:rPr>
          <w:rStyle w:val="NormalTok"/>
        </w:rPr>
        <w:t xml:space="preserve"> clean_sql(sql: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8</w:t>
      </w:r>
      <w:r>
        <w:rPr>
          <w:rStyle w:val="NormalTok"/>
        </w:rPr>
        <w:t xml:space="preserve">      sql </w:t>
      </w:r>
      <w:r>
        <w:rPr>
          <w:rStyle w:val="OperatorTok"/>
        </w:rPr>
        <w:t xml:space="preserve">=</w:t>
      </w:r>
      <w:r>
        <w:rPr>
          <w:rStyle w:val="NormalTok"/>
        </w:rPr>
        <w:t xml:space="preserve"> re.sub(</w:t>
      </w:r>
      <w:r>
        <w:rPr>
          <w:rStyle w:val="VerbatimStringTok"/>
        </w:rPr>
        <w:t xml:space="preserve">r"```(?:sql)?"</w:t>
      </w:r>
      <w:r>
        <w:rPr>
          <w:rStyle w:val="NormalTok"/>
        </w:rPr>
        <w:t xml:space="preserve">, </w:t>
      </w:r>
      <w:r>
        <w:rPr>
          <w:rStyle w:val="StringTok"/>
        </w:rPr>
        <w:t xml:space="preserve">""</w:t>
      </w:r>
      <w:r>
        <w:rPr>
          <w:rStyle w:val="NormalTok"/>
        </w:rPr>
        <w:t xml:space="preserve">, sql, flags</w:t>
      </w:r>
      <w:r>
        <w:rPr>
          <w:rStyle w:val="OperatorTok"/>
        </w:rPr>
        <w:t xml:space="preserve">=</w:t>
      </w:r>
      <w:r>
        <w:rPr>
          <w:rStyle w:val="NormalTok"/>
        </w:rPr>
        <w:t xml:space="preserve">re.IGNORECASE).strip().rstrip(</w:t>
      </w:r>
      <w:r>
        <w:rPr>
          <w:rStyle w:val="StringTok"/>
        </w:rPr>
        <w:t xml:space="preserve">";"</w:t>
      </w:r>
      <w:r>
        <w:rPr>
          <w:rStyle w:val="NormalTok"/>
        </w:rPr>
        <w:t xml:space="preserve">).strip()</w:t>
      </w:r>
      <w:r>
        <w:br/>
      </w:r>
      <w:r>
        <w:rPr>
          <w:rStyle w:val="NormalTok"/>
        </w:rPr>
        <w:t xml:space="preserve"> </w:t>
      </w:r>
      <w:r>
        <w:rPr>
          <w:rStyle w:val="DecValTok"/>
        </w:rPr>
        <w:t xml:space="preserve">9</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re.match(</w:t>
      </w:r>
      <w:r>
        <w:rPr>
          <w:rStyle w:val="VerbatimStringTok"/>
        </w:rPr>
        <w:t xml:space="preserve">r"^(select|with)\b"</w:t>
      </w:r>
      <w:r>
        <w:rPr>
          <w:rStyle w:val="NormalTok"/>
        </w:rPr>
        <w:t xml:space="preserve">, sql, re.IGNORECASE):</w:t>
      </w:r>
      <w:r>
        <w:br/>
      </w:r>
      <w:r>
        <w:rPr>
          <w:rStyle w:val="DecValTok"/>
        </w:rPr>
        <w:t xml:space="preserve">10</w:t>
      </w:r>
      <w:r>
        <w:rPr>
          <w:rStyle w:val="NormalTok"/>
        </w:rPr>
        <w:t xml:space="preserve">          </w:t>
      </w:r>
      <w:r>
        <w:rPr>
          <w:rStyle w:val="ControlFlowTok"/>
        </w:rPr>
        <w:t xml:space="preserve">raise</w:t>
      </w:r>
      <w:r>
        <w:rPr>
          <w:rStyle w:val="NormalTok"/>
        </w:rPr>
        <w:t xml:space="preserve"> QueryError(</w:t>
      </w:r>
      <w:r>
        <w:rPr>
          <w:rStyle w:val="StringTok"/>
        </w:rPr>
        <w:t xml:space="preserve">"Requête refusée : seules les requêtes SELECT sont autorisées."</w:t>
      </w:r>
      <w:r>
        <w:rPr>
          <w:rStyle w:val="NormalTok"/>
        </w:rPr>
        <w:t xml:space="preserve">)</w:t>
      </w:r>
      <w:r>
        <w:br/>
      </w:r>
      <w:r>
        <w:rPr>
          <w:rStyle w:val="DecValTok"/>
        </w:rPr>
        <w:t xml:space="preserve">11</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sql:</w:t>
      </w:r>
      <w:r>
        <w:br/>
      </w:r>
      <w:r>
        <w:rPr>
          <w:rStyle w:val="DecValTok"/>
        </w:rPr>
        <w:t xml:space="preserve">12</w:t>
      </w:r>
      <w:r>
        <w:rPr>
          <w:rStyle w:val="NormalTok"/>
        </w:rPr>
        <w:t xml:space="preserve">          </w:t>
      </w:r>
      <w:r>
        <w:rPr>
          <w:rStyle w:val="ControlFlowTok"/>
        </w:rPr>
        <w:t xml:space="preserve">raise</w:t>
      </w:r>
      <w:r>
        <w:rPr>
          <w:rStyle w:val="NormalTok"/>
        </w:rPr>
        <w:t xml:space="preserve"> QueryError(</w:t>
      </w:r>
      <w:r>
        <w:rPr>
          <w:rStyle w:val="StringTok"/>
        </w:rPr>
        <w:t xml:space="preserve">"Requête refusée : une seule instruction est autorisée."</w:t>
      </w:r>
      <w:r>
        <w:rPr>
          <w:rStyle w:val="NormalTok"/>
        </w:rPr>
        <w:t xml:space="preserve">)</w:t>
      </w:r>
      <w:r>
        <w:br/>
      </w:r>
      <w:r>
        <w:rPr>
          <w:rStyle w:val="DecValTok"/>
        </w:rPr>
        <w:t xml:space="preserve">13</w:t>
      </w:r>
      <w:r>
        <w:rPr>
          <w:rStyle w:val="NormalTok"/>
        </w:rPr>
        <w:t xml:space="preserve">      </w:t>
      </w:r>
      <w:r>
        <w:rPr>
          <w:rStyle w:val="ControlFlowTok"/>
        </w:rPr>
        <w:t xml:space="preserve">if</w:t>
      </w:r>
      <w:r>
        <w:rPr>
          <w:rStyle w:val="NormalTok"/>
        </w:rPr>
        <w:t xml:space="preserve"> FORBIDDEN.search(re.sub(</w:t>
      </w:r>
      <w:r>
        <w:rPr>
          <w:rStyle w:val="VerbatimStringTok"/>
        </w:rPr>
        <w:t xml:space="preserve">r"'[^']*'"</w:t>
      </w:r>
      <w:r>
        <w:rPr>
          <w:rStyle w:val="NormalTok"/>
        </w:rPr>
        <w:t xml:space="preserve">, </w:t>
      </w:r>
      <w:r>
        <w:rPr>
          <w:rStyle w:val="StringTok"/>
        </w:rPr>
        <w:t xml:space="preserve">"''"</w:t>
      </w:r>
      <w:r>
        <w:rPr>
          <w:rStyle w:val="NormalTok"/>
        </w:rPr>
        <w:t xml:space="preserve">, sql)):</w:t>
      </w:r>
      <w:r>
        <w:br/>
      </w:r>
      <w:r>
        <w:rPr>
          <w:rStyle w:val="DecValTok"/>
        </w:rPr>
        <w:t xml:space="preserve">14</w:t>
      </w:r>
      <w:r>
        <w:rPr>
          <w:rStyle w:val="NormalTok"/>
        </w:rPr>
        <w:t xml:space="preserve">          </w:t>
      </w:r>
      <w:r>
        <w:rPr>
          <w:rStyle w:val="ControlFlowTok"/>
        </w:rPr>
        <w:t xml:space="preserve">raise</w:t>
      </w:r>
      <w:r>
        <w:rPr>
          <w:rStyle w:val="NormalTok"/>
        </w:rPr>
        <w:t xml:space="preserve"> QueryError(</w:t>
      </w:r>
      <w:r>
        <w:rPr>
          <w:rStyle w:val="StringTok"/>
        </w:rPr>
        <w:t xml:space="preserve">"Requête refusée : elle contient une instruction d'écriture."</w:t>
      </w:r>
      <w:r>
        <w:rPr>
          <w:rStyle w:val="NormalTok"/>
        </w:rPr>
        <w:t xml:space="preserve">)</w:t>
      </w:r>
      <w:r>
        <w:br/>
      </w:r>
      <w:r>
        <w:rPr>
          <w:rStyle w:val="DecValTok"/>
        </w:rPr>
        <w:t xml:space="preserve">15</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r"\blimit\s+\d+\s*$"</w:t>
      </w:r>
      <w:r>
        <w:rPr>
          <w:rStyle w:val="NormalTok"/>
        </w:rPr>
        <w:t xml:space="preserve">, sql, re.IGNORECASE):</w:t>
      </w:r>
      <w:r>
        <w:br/>
      </w:r>
      <w:r>
        <w:rPr>
          <w:rStyle w:val="DecValTok"/>
        </w:rPr>
        <w:t xml:space="preserve">16</w:t>
      </w:r>
      <w:r>
        <w:rPr>
          <w:rStyle w:val="NormalTok"/>
        </w:rPr>
        <w:t xml:space="preserve">          sql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sql</w:t>
      </w:r>
      <w:r>
        <w:rPr>
          <w:rStyle w:val="SpecialCharTok"/>
        </w:rPr>
        <w:t xml:space="preserve">}</w:t>
      </w:r>
      <w:r>
        <w:rPr>
          <w:rStyle w:val="CharTok"/>
        </w:rPr>
        <w:t xml:space="preserve">\n</w:t>
      </w:r>
      <w:r>
        <w:rPr>
          <w:rStyle w:val="SpecialStringTok"/>
        </w:rPr>
        <w:t xml:space="preserve">limit </w:t>
      </w:r>
      <w:r>
        <w:rPr>
          <w:rStyle w:val="SpecialCharTok"/>
        </w:rPr>
        <w:t xml:space="preserve">{</w:t>
      </w:r>
      <w:r>
        <w:rPr>
          <w:rStyle w:val="NormalTok"/>
        </w:rPr>
        <w:t xml:space="preserve">MAX_ROWS</w:t>
      </w:r>
      <w:r>
        <w:rPr>
          <w:rStyle w:val="SpecialCharTok"/>
        </w:rPr>
        <w:t xml:space="preserve">}</w:t>
      </w:r>
      <w:r>
        <w:rPr>
          <w:rStyle w:val="SpecialStringTok"/>
        </w:rPr>
        <w:t xml:space="preserve">"</w:t>
      </w:r>
      <w:r>
        <w:br/>
      </w:r>
      <w:r>
        <w:rPr>
          <w:rStyle w:val="DecValTok"/>
        </w:rPr>
        <w:t xml:space="preserve">17</w:t>
      </w:r>
      <w:r>
        <w:rPr>
          <w:rStyle w:val="NormalTok"/>
        </w:rPr>
        <w:t xml:space="preserve">      </w:t>
      </w:r>
      <w:r>
        <w:rPr>
          <w:rStyle w:val="ControlFlowTok"/>
        </w:rPr>
        <w:t xml:space="preserve">return</w:t>
      </w:r>
      <w:r>
        <w:rPr>
          <w:rStyle w:val="NormalTok"/>
        </w:rPr>
        <w:t xml:space="preserve"> sql</w:t>
      </w:r>
    </w:p>
    <w:bookmarkEnd w:id="128"/>
    <w:p>
      <w:pPr>
        <w:pStyle w:val="FirstParagraph"/>
      </w:pPr>
      <w:r>
        <w:t xml:space="preserve">La ligne 8 retire les balises Markdown et le point-virgule final. La requête doit ensuite commencer par</w:t>
      </w:r>
      <w:r>
        <w:t xml:space="preserve"> </w:t>
      </w:r>
      <w:r>
        <w:rPr>
          <w:rStyle w:val="VerbatimChar"/>
        </w:rPr>
        <w:t xml:space="preserve">SELECT</w:t>
      </w:r>
      <w:r>
        <w:t xml:space="preserve"> </w:t>
      </w:r>
      <w:r>
        <w:t xml:space="preserve">ou</w:t>
      </w:r>
      <w:r>
        <w:t xml:space="preserve"> </w:t>
      </w:r>
      <w:r>
        <w:rPr>
          <w:rStyle w:val="VerbatimChar"/>
        </w:rPr>
        <w:t xml:space="preserve">WITH</w:t>
      </w:r>
      <w:r>
        <w:t xml:space="preserve"> </w:t>
      </w:r>
      <w:r>
        <w:t xml:space="preserve">(ligne 9), et une seconde instruction est rejetée (ligne 11). Les mots-clés d’écriture sont recherchés après avoir vidé les chaînes de caractères (ligne 13) : une condition comme</w:t>
      </w:r>
      <w:r>
        <w:t xml:space="preserve"> </w:t>
      </w:r>
      <w:r>
        <w:rPr>
          <w:rStyle w:val="VerbatimChar"/>
        </w:rPr>
        <w:t xml:space="preserve">WHERE description = 'drop shipping'</w:t>
      </w:r>
      <w:r>
        <w:t xml:space="preserve"> </w:t>
      </w:r>
      <w:r>
        <w:t xml:space="preserve">reste acceptée. Enfin, une clause</w:t>
      </w:r>
      <w:r>
        <w:t xml:space="preserve"> </w:t>
      </w:r>
      <w:r>
        <w:rPr>
          <w:rStyle w:val="VerbatimChar"/>
        </w:rPr>
        <w:t xml:space="preserve">LIMIT</w:t>
      </w:r>
      <w:r>
        <w:t xml:space="preserve"> </w:t>
      </w:r>
      <w:r>
        <w:t xml:space="preserve">est ajoutée si elle manque (lignes 15 et 16), ce qui borne le résultat à mille lignes. La figure 3.17 montre le refus d’une requête d’écriture.</w:t>
      </w:r>
    </w:p>
    <w:p>
      <w:pPr>
        <w:pStyle w:val="CaptionedFigure"/>
      </w:pPr>
      <w:r>
        <w:drawing>
          <wp:inline>
            <wp:extent cx="4602480" cy="1691317"/>
            <wp:effectExtent b="0" l="0" r="0" t="0"/>
            <wp:docPr descr="Requête d’écriture refusée par l’application" title="" id="130" name="Picture"/>
            <a:graphic>
              <a:graphicData uri="http://schemas.openxmlformats.org/drawingml/2006/picture">
                <pic:pic>
                  <pic:nvPicPr>
                    <pic:cNvPr descr="figures/app_requete_refusee.png" id="131" name="Picture"/>
                    <pic:cNvPicPr>
                      <a:picLocks noChangeArrowheads="1" noChangeAspect="1"/>
                    </pic:cNvPicPr>
                  </pic:nvPicPr>
                  <pic:blipFill>
                    <a:blip r:embed="rId129"/>
                    <a:stretch>
                      <a:fillRect/>
                    </a:stretch>
                  </pic:blipFill>
                  <pic:spPr bwMode="auto">
                    <a:xfrm>
                      <a:off x="0" y="0"/>
                      <a:ext cx="4602480" cy="1691317"/>
                    </a:xfrm>
                    <a:prstGeom prst="rect">
                      <a:avLst/>
                    </a:prstGeom>
                    <a:noFill/>
                    <a:ln w="9525">
                      <a:noFill/>
                      <a:headEnd/>
                      <a:tailEnd/>
                    </a:ln>
                  </pic:spPr>
                </pic:pic>
              </a:graphicData>
            </a:graphic>
          </wp:inline>
        </w:drawing>
      </w:r>
    </w:p>
    <w:p>
      <w:pPr>
        <w:pStyle w:val="ImageCaption"/>
      </w:pPr>
      <w:r>
        <w:rPr>
          <w:bCs/>
          <w:b/>
        </w:rPr>
        <w:t xml:space="preserve">Figure 3.17</w:t>
      </w:r>
      <w:r>
        <w:t xml:space="preserve"> – Requête d’écriture refusée par l’application</w:t>
      </w:r>
    </w:p>
    <w:p>
      <w:pPr>
        <w:pStyle w:val="BodyText"/>
      </w:pPr>
      <w:r>
        <w:t xml:space="preserve">Ce filtre ne remplace pas les droits de la base. En production, l’application devrait se connecter avec un rôle limité à la lecture du schéma</w:t>
      </w:r>
      <w:r>
        <w:t xml:space="preserve"> </w:t>
      </w:r>
      <w:r>
        <w:rPr>
          <w:rStyle w:val="VerbatimChar"/>
        </w:rPr>
        <w:t xml:space="preserve">GOLD</w:t>
      </w:r>
      <w:r>
        <w:t xml:space="preserve"> </w:t>
      </w:r>
      <w:r>
        <w:t xml:space="preserve">; nous y revenons dans les limites du chapitre 4.</w:t>
      </w:r>
    </w:p>
    <w:bookmarkEnd w:id="132"/>
    <w:bookmarkStart w:id="137" w:name="sessions-et-dossiers"/>
    <w:p>
      <w:pPr>
        <w:pStyle w:val="Heading3"/>
      </w:pPr>
      <w:r>
        <w:rPr>
          <w:rStyle w:val="SectionNumber"/>
        </w:rPr>
        <w:t xml:space="preserve">3.6.5</w:t>
      </w:r>
      <w:r>
        <w:tab/>
      </w:r>
      <w:r>
        <w:t xml:space="preserve">Sessions et dossiers</w:t>
      </w:r>
    </w:p>
    <w:p>
      <w:pPr>
        <w:pStyle w:val="FirstParagraph"/>
      </w:pPr>
      <w:r>
        <w:t xml:space="preserve">Streamlit perd son état à chaque rechargement de la page. Pour qu’un utilisateur ne soit pas déconnecté en actualisant son navigateur, l’application crée à la connexion un jeton aléatoire, enregistré dans SQLite avec une date d’expiration, et le place dans l’adresse de la page.</w:t>
      </w:r>
    </w:p>
    <w:p>
      <w:pPr>
        <w:pStyle w:val="BodyText"/>
      </w:pPr>
      <w:r>
        <w:rPr>
          <w:bCs/>
          <w:b/>
        </w:rPr>
        <w:t xml:space="preserve">Code 3.15</w:t>
      </w:r>
      <w:r>
        <w:t xml:space="preserve"> – Création et restauration d'une session (users_db.py et session.py)</w:t>
      </w:r>
    </w:p>
    <w:bookmarkStart w:id="133" w:name="code:session"/>
    <w:p>
      <w:pPr>
        <w:pStyle w:val="SourceCode"/>
      </w:pPr>
      <w:r>
        <w:rPr>
          <w:rStyle w:val="NormalTok"/>
        </w:rPr>
        <w:t xml:space="preserve"> </w:t>
      </w:r>
      <w:r>
        <w:rPr>
          <w:rStyle w:val="DecValTok"/>
        </w:rPr>
        <w:t xml:space="preserve">1</w:t>
      </w:r>
      <w:r>
        <w:rPr>
          <w:rStyle w:val="NormalTok"/>
        </w:rPr>
        <w:t xml:space="preserve">  SESSION_DAYS </w:t>
      </w:r>
      <w:r>
        <w:rPr>
          <w:rStyle w:val="OperatorTok"/>
        </w:rPr>
        <w:t xml:space="preserve">=</w:t>
      </w:r>
      <w:r>
        <w:rPr>
          <w:rStyle w:val="NormalTok"/>
        </w:rPr>
        <w:t xml:space="preserve"> </w:t>
      </w:r>
      <w:r>
        <w:rPr>
          <w:rStyle w:val="DecValTok"/>
        </w:rPr>
        <w:t xml:space="preserve">7</w:t>
      </w:r>
      <w:r>
        <w:br/>
      </w:r>
      <w:r>
        <w:rPr>
          <w:rStyle w:val="NormalTok"/>
        </w:rPr>
        <w:t xml:space="preserve"> </w:t>
      </w:r>
      <w:r>
        <w:rPr>
          <w:rStyle w:val="DecValTok"/>
        </w:rPr>
        <w:t xml:space="preserve">2</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KeywordTok"/>
        </w:rPr>
        <w:t xml:space="preserve">def</w:t>
      </w:r>
      <w:r>
        <w:rPr>
          <w:rStyle w:val="NormalTok"/>
        </w:rPr>
        <w:t xml:space="preserve"> create_session(user_id: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4</w:t>
      </w:r>
      <w:r>
        <w:rPr>
          <w:rStyle w:val="NormalTok"/>
        </w:rPr>
        <w:t xml:space="preserve">      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w:t>
      </w:r>
      <w:r>
        <w:rPr>
          <w:rStyle w:val="DecValTok"/>
        </w:rPr>
        <w:t xml:space="preserve">5</w:t>
      </w:r>
      <w:r>
        <w:rPr>
          <w:rStyle w:val="NormalTok"/>
        </w:rPr>
        <w:t xml:space="preserve">      expires </w:t>
      </w:r>
      <w:r>
        <w:rPr>
          <w:rStyle w:val="OperatorTok"/>
        </w:rPr>
        <w:t xml:space="preserve">=</w:t>
      </w:r>
      <w:r>
        <w:rPr>
          <w:rStyle w:val="NormalTok"/>
        </w:rPr>
        <w:t xml:space="preserve"> (datetime.now(timezone.utc) </w:t>
      </w:r>
      <w:r>
        <w:rPr>
          <w:rStyle w:val="OperatorTok"/>
        </w:rPr>
        <w:t xml:space="preserve">+</w:t>
      </w:r>
      <w:r>
        <w:rPr>
          <w:rStyle w:val="NormalTok"/>
        </w:rPr>
        <w:t xml:space="preserve"> timedelta(days</w:t>
      </w:r>
      <w:r>
        <w:rPr>
          <w:rStyle w:val="OperatorTok"/>
        </w:rPr>
        <w:t xml:space="preserve">=</w:t>
      </w:r>
      <w:r>
        <w:rPr>
          <w:rStyle w:val="NormalTok"/>
        </w:rPr>
        <w:t xml:space="preserve">SESSION_DAYS)).isoformat(timespec</w:t>
      </w:r>
      <w:r>
        <w:rPr>
          <w:rStyle w:val="OperatorTok"/>
        </w:rPr>
        <w:t xml:space="preserve">=</w:t>
      </w:r>
      <w:r>
        <w:rPr>
          <w:rStyle w:val="StringTok"/>
        </w:rPr>
        <w:t xml:space="preserve">"seconds"</w:t>
      </w:r>
      <w:r>
        <w:rPr>
          <w:rStyle w:val="NormalTok"/>
        </w:rPr>
        <w:t xml:space="preserve">)</w:t>
      </w:r>
      <w:r>
        <w:br/>
      </w:r>
      <w:r>
        <w:rPr>
          <w:rStyle w:val="NormalTok"/>
        </w:rPr>
        <w:t xml:space="preserve"> </w:t>
      </w:r>
      <w:r>
        <w:rPr>
          <w:rStyle w:val="DecValTok"/>
        </w:rPr>
        <w:t xml:space="preserve">6</w:t>
      </w:r>
      <w:r>
        <w:rPr>
          <w:rStyle w:val="NormalTok"/>
        </w:rPr>
        <w:t xml:space="preserve">      </w:t>
      </w:r>
      <w:r>
        <w:rPr>
          <w:rStyle w:val="ControlFlowTok"/>
        </w:rPr>
        <w:t xml:space="preserve">with</w:t>
      </w:r>
      <w:r>
        <w:rPr>
          <w:rStyle w:val="NormalTok"/>
        </w:rPr>
        <w:t xml:space="preserve"> _connect() </w:t>
      </w:r>
      <w:r>
        <w:rPr>
          <w:rStyle w:val="ImportTok"/>
        </w:rPr>
        <w:t xml:space="preserve">as</w:t>
      </w:r>
      <w:r>
        <w:rPr>
          <w:rStyle w:val="NormalTok"/>
        </w:rPr>
        <w:t xml:space="preserve"> con:</w:t>
      </w:r>
      <w:r>
        <w:br/>
      </w:r>
      <w:r>
        <w:rPr>
          <w:rStyle w:val="NormalTok"/>
        </w:rPr>
        <w:t xml:space="preserve"> </w:t>
      </w:r>
      <w:r>
        <w:rPr>
          <w:rStyle w:val="DecValTok"/>
        </w:rPr>
        <w:t xml:space="preserve">7</w:t>
      </w:r>
      <w:r>
        <w:rPr>
          <w:rStyle w:val="NormalTok"/>
        </w:rPr>
        <w:t xml:space="preserve">          con.execute(</w:t>
      </w:r>
      <w:r>
        <w:rPr>
          <w:rStyle w:val="StringTok"/>
        </w:rPr>
        <w:t xml:space="preserve">"delete from sessions where expires_at &lt; ?"</w:t>
      </w:r>
      <w:r>
        <w:rPr>
          <w:rStyle w:val="NormalTok"/>
        </w:rPr>
        <w:t xml:space="preserve">, (_now(),))</w:t>
      </w:r>
      <w:r>
        <w:br/>
      </w:r>
      <w:r>
        <w:rPr>
          <w:rStyle w:val="NormalTok"/>
        </w:rPr>
        <w:t xml:space="preserve"> </w:t>
      </w:r>
      <w:r>
        <w:rPr>
          <w:rStyle w:val="DecValTok"/>
        </w:rPr>
        <w:t xml:space="preserve">8</w:t>
      </w:r>
      <w:r>
        <w:rPr>
          <w:rStyle w:val="NormalTok"/>
        </w:rPr>
        <w:t xml:space="preserve">          con.execute(</w:t>
      </w:r>
      <w:r>
        <w:rPr>
          <w:rStyle w:val="StringTok"/>
        </w:rPr>
        <w:t xml:space="preserve">"insert into sessions (token, user_id, expires_at) values (?, ?, ?)"</w:t>
      </w:r>
      <w:r>
        <w:rPr>
          <w:rStyle w:val="NormalTok"/>
        </w:rPr>
        <w:t xml:space="preserve">,</w:t>
      </w:r>
      <w:r>
        <w:br/>
      </w:r>
      <w:r>
        <w:rPr>
          <w:rStyle w:val="NormalTok"/>
        </w:rPr>
        <w:t xml:space="preserve"> </w:t>
      </w:r>
      <w:r>
        <w:rPr>
          <w:rStyle w:val="DecValTok"/>
        </w:rPr>
        <w:t xml:space="preserve">9</w:t>
      </w:r>
      <w:r>
        <w:rPr>
          <w:rStyle w:val="NormalTok"/>
        </w:rPr>
        <w:t xml:space="preserve">                      (token, user_id, expires))</w:t>
      </w:r>
      <w:r>
        <w:br/>
      </w:r>
      <w:r>
        <w:rPr>
          <w:rStyle w:val="DecValTok"/>
        </w:rPr>
        <w:t xml:space="preserve">10</w:t>
      </w:r>
      <w:r>
        <w:rPr>
          <w:rStyle w:val="NormalTok"/>
        </w:rPr>
        <w:t xml:space="preserve">      </w:t>
      </w:r>
      <w:r>
        <w:rPr>
          <w:rStyle w:val="ControlFlowTok"/>
        </w:rPr>
        <w:t xml:space="preserve">return</w:t>
      </w:r>
      <w:r>
        <w:rPr>
          <w:rStyle w:val="NormalTok"/>
        </w:rPr>
        <w:t xml:space="preserve"> token</w:t>
      </w:r>
      <w:r>
        <w:br/>
      </w:r>
      <w:r>
        <w:rPr>
          <w:rStyle w:val="DecValTok"/>
        </w:rPr>
        <w:t xml:space="preserve">11</w:t>
      </w:r>
      <w:r>
        <w:rPr>
          <w:rStyle w:val="NormalTok"/>
        </w:rPr>
        <w:t xml:space="preserve">  </w:t>
      </w:r>
      <w:r>
        <w:br/>
      </w:r>
      <w:r>
        <w:rPr>
          <w:rStyle w:val="DecValTok"/>
        </w:rPr>
        <w:t xml:space="preserve">12</w:t>
      </w:r>
      <w:r>
        <w:rPr>
          <w:rStyle w:val="NormalTok"/>
        </w:rPr>
        <w:t xml:space="preserve">  </w:t>
      </w:r>
      <w:r>
        <w:rPr>
          <w:rStyle w:val="KeywordTok"/>
        </w:rPr>
        <w:t xml:space="preserve">def</w:t>
      </w:r>
      <w:r>
        <w:rPr>
          <w:rStyle w:val="NormalTok"/>
        </w:rPr>
        <w:t xml:space="preserve"> restore()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DecValTok"/>
        </w:rPr>
        <w:t xml:space="preserve">13</w:t>
      </w:r>
      <w:r>
        <w:rPr>
          <w:rStyle w:val="NormalTok"/>
        </w:rPr>
        <w:t xml:space="preserve">      </w:t>
      </w:r>
      <w:r>
        <w:rPr>
          <w:rStyle w:val="ControlFlowTok"/>
        </w:rPr>
        <w:t xml:space="preserve">if</w:t>
      </w:r>
      <w:r>
        <w:rPr>
          <w:rStyle w:val="NormalTok"/>
        </w:rPr>
        <w:t xml:space="preserve"> </w:t>
      </w:r>
      <w:r>
        <w:rPr>
          <w:rStyle w:val="StringTok"/>
        </w:rPr>
        <w:t xml:space="preserve">"user"</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st.session_state </w:t>
      </w:r>
      <w:r>
        <w:rPr>
          <w:rStyle w:val="KeywordTok"/>
        </w:rPr>
        <w:t xml:space="preserve">and</w:t>
      </w:r>
      <w:r>
        <w:rPr>
          <w:rStyle w:val="NormalTok"/>
        </w:rPr>
        <w:t xml:space="preserve"> (token </w:t>
      </w:r>
      <w:r>
        <w:rPr>
          <w:rStyle w:val="OperatorTok"/>
        </w:rPr>
        <w:t xml:space="preserve">:=</w:t>
      </w:r>
      <w:r>
        <w:rPr>
          <w:rStyle w:val="NormalTok"/>
        </w:rPr>
        <w:t xml:space="preserve"> st.query_params.get(</w:t>
      </w:r>
      <w:r>
        <w:rPr>
          <w:rStyle w:val="StringTok"/>
        </w:rPr>
        <w:t xml:space="preserve">"s"</w:t>
      </w:r>
      <w:r>
        <w:rPr>
          <w:rStyle w:val="NormalTok"/>
        </w:rPr>
        <w:t xml:space="preserve">)):</w:t>
      </w:r>
      <w:r>
        <w:br/>
      </w:r>
      <w:r>
        <w:rPr>
          <w:rStyle w:val="DecValTok"/>
        </w:rPr>
        <w:t xml:space="preserve">14</w:t>
      </w:r>
      <w:r>
        <w:rPr>
          <w:rStyle w:val="NormalTok"/>
        </w:rPr>
        <w:t xml:space="preserve">          user </w:t>
      </w:r>
      <w:r>
        <w:rPr>
          <w:rStyle w:val="OperatorTok"/>
        </w:rPr>
        <w:t xml:space="preserve">=</w:t>
      </w:r>
      <w:r>
        <w:rPr>
          <w:rStyle w:val="NormalTok"/>
        </w:rPr>
        <w:t xml:space="preserve"> users_db.session_user(token)</w:t>
      </w:r>
      <w:r>
        <w:br/>
      </w:r>
      <w:r>
        <w:rPr>
          <w:rStyle w:val="DecValTok"/>
        </w:rPr>
        <w:t xml:space="preserve">15</w:t>
      </w:r>
      <w:r>
        <w:rPr>
          <w:rStyle w:val="NormalTok"/>
        </w:rPr>
        <w:t xml:space="preserve">          </w:t>
      </w:r>
      <w:r>
        <w:rPr>
          <w:rStyle w:val="ControlFlowTok"/>
        </w:rPr>
        <w:t xml:space="preserve">if</w:t>
      </w:r>
      <w:r>
        <w:rPr>
          <w:rStyle w:val="NormalTok"/>
        </w:rPr>
        <w:t xml:space="preserve"> user:</w:t>
      </w:r>
      <w:r>
        <w:br/>
      </w:r>
      <w:r>
        <w:rPr>
          <w:rStyle w:val="DecValTok"/>
        </w:rPr>
        <w:t xml:space="preserve">16</w:t>
      </w:r>
      <w:r>
        <w:rPr>
          <w:rStyle w:val="NormalTok"/>
        </w:rPr>
        <w:t xml:space="preserve">              st.session_state.user, st.session_state.token </w:t>
      </w:r>
      <w:r>
        <w:rPr>
          <w:rStyle w:val="OperatorTok"/>
        </w:rPr>
        <w:t xml:space="preserve">=</w:t>
      </w:r>
      <w:r>
        <w:rPr>
          <w:rStyle w:val="NormalTok"/>
        </w:rPr>
        <w:t xml:space="preserve"> user, token</w:t>
      </w:r>
      <w:r>
        <w:br/>
      </w:r>
      <w:r>
        <w:rPr>
          <w:rStyle w:val="DecValTok"/>
        </w:rPr>
        <w:t xml:space="preserve">17</w:t>
      </w:r>
      <w:r>
        <w:rPr>
          <w:rStyle w:val="NormalTok"/>
        </w:rPr>
        <w:t xml:space="preserve">          </w:t>
      </w:r>
      <w:r>
        <w:rPr>
          <w:rStyle w:val="ControlFlowTok"/>
        </w:rPr>
        <w:t xml:space="preserve">else</w:t>
      </w:r>
      <w:r>
        <w:rPr>
          <w:rStyle w:val="NormalTok"/>
        </w:rPr>
        <w:t xml:space="preserve">:</w:t>
      </w:r>
      <w:r>
        <w:br/>
      </w:r>
      <w:r>
        <w:rPr>
          <w:rStyle w:val="DecValTok"/>
        </w:rPr>
        <w:t xml:space="preserve">18</w:t>
      </w:r>
      <w:r>
        <w:rPr>
          <w:rStyle w:val="NormalTok"/>
        </w:rPr>
        <w:t xml:space="preserve">              </w:t>
      </w:r>
      <w:r>
        <w:rPr>
          <w:rStyle w:val="KeywordTok"/>
        </w:rPr>
        <w:t xml:space="preserve">del</w:t>
      </w:r>
      <w:r>
        <w:rPr>
          <w:rStyle w:val="NormalTok"/>
        </w:rPr>
        <w:t xml:space="preserve"> st.query_params[</w:t>
      </w:r>
      <w:r>
        <w:rPr>
          <w:rStyle w:val="StringTok"/>
        </w:rPr>
        <w:t xml:space="preserve">"s"</w:t>
      </w:r>
      <w:r>
        <w:rPr>
          <w:rStyle w:val="NormalTok"/>
        </w:rPr>
        <w:t xml:space="preserve">]</w:t>
      </w:r>
    </w:p>
    <w:bookmarkEnd w:id="133"/>
    <w:p>
      <w:pPr>
        <w:pStyle w:val="FirstParagraph"/>
      </w:pPr>
      <w:r>
        <w:t xml:space="preserve">Le jeton fait 32 octets aléatoires (ligne 4) et expire au bout de sept jours (lignes 1 et 5) ; les sessions expirées sont purgées à chaque nouvelle connexion (ligne 7). Au chargement de la page,</w:t>
      </w:r>
      <w:r>
        <w:t xml:space="preserve"> </w:t>
      </w:r>
      <w:r>
        <w:rPr>
          <w:rStyle w:val="VerbatimChar"/>
        </w:rPr>
        <w:t xml:space="preserve">restore</w:t>
      </w:r>
      <w:r>
        <w:t xml:space="preserve"> </w:t>
      </w:r>
      <w:r>
        <w:t xml:space="preserve">relit le jeton dans le paramètre</w:t>
      </w:r>
      <w:r>
        <w:t xml:space="preserve"> </w:t>
      </w:r>
      <w:r>
        <w:rPr>
          <w:rStyle w:val="VerbatimChar"/>
        </w:rPr>
        <w:t xml:space="preserve">s</w:t>
      </w:r>
      <w:r>
        <w:t xml:space="preserve"> </w:t>
      </w:r>
      <w:r>
        <w:t xml:space="preserve">de l’adresse et retrouve l’utilisateur (lignes 13 et 14). Un jeton inconnu ou expiré est retiré de l’adresse (ligne 18). La déconnexion supprime la ligne de la table</w:t>
      </w:r>
      <w:r>
        <w:t xml:space="preserve"> </w:t>
      </w:r>
      <w:r>
        <w:rPr>
          <w:rStyle w:val="VerbatimChar"/>
        </w:rPr>
        <w:t xml:space="preserve">sessions</w:t>
      </w:r>
      <w:r>
        <w:t xml:space="preserve">. Les mots de passe sont stockés sous forme de hachés</w:t>
      </w:r>
      <w:r>
        <w:t xml:space="preserve"> </w:t>
      </w:r>
      <w:r>
        <w:rPr>
          <w:rStyle w:val="VerbatimChar"/>
        </w:rPr>
        <w:t xml:space="preserve">bcrypt</w:t>
      </w:r>
      <w:r>
        <w:t xml:space="preserve">.</w:t>
      </w:r>
    </w:p>
    <w:p>
      <w:pPr>
        <w:pStyle w:val="BodyText"/>
      </w:pPr>
      <w:r>
        <w:t xml:space="preserve">Chaque utilisateur range ses analyses dans des dossiers. Un dossier vide propose les questions d’exemple, regroupées par thème (figure 3.18). Chaque analyse enregistrée conserve la question, le SQL exécuté, le résultat, le moteur utilisé et la durée de traitement.</w:t>
      </w:r>
    </w:p>
    <w:p>
      <w:pPr>
        <w:pStyle w:val="CaptionedFigure"/>
      </w:pPr>
      <w:r>
        <w:drawing>
          <wp:inline>
            <wp:extent cx="5465445" cy="3415903"/>
            <wp:effectExtent b="0" l="0" r="0" t="0"/>
            <wp:docPr descr="Dossier vide et questions d’exemple" title="" id="135" name="Picture"/>
            <a:graphic>
              <a:graphicData uri="http://schemas.openxmlformats.org/drawingml/2006/picture">
                <pic:pic>
                  <pic:nvPicPr>
                    <pic:cNvPr descr="figures/app_dossier_vide.png" id="136" name="Picture"/>
                    <pic:cNvPicPr>
                      <a:picLocks noChangeArrowheads="1" noChangeAspect="1"/>
                    </pic:cNvPicPr>
                  </pic:nvPicPr>
                  <pic:blipFill>
                    <a:blip r:embed="rId134"/>
                    <a:stretch>
                      <a:fillRect/>
                    </a:stretch>
                  </pic:blipFill>
                  <pic:spPr bwMode="auto">
                    <a:xfrm>
                      <a:off x="0" y="0"/>
                      <a:ext cx="5465445" cy="3415903"/>
                    </a:xfrm>
                    <a:prstGeom prst="rect">
                      <a:avLst/>
                    </a:prstGeom>
                    <a:noFill/>
                    <a:ln w="9525">
                      <a:noFill/>
                      <a:headEnd/>
                      <a:tailEnd/>
                    </a:ln>
                  </pic:spPr>
                </pic:pic>
              </a:graphicData>
            </a:graphic>
          </wp:inline>
        </w:drawing>
      </w:r>
    </w:p>
    <w:p>
      <w:pPr>
        <w:pStyle w:val="ImageCaption"/>
      </w:pPr>
      <w:r>
        <w:rPr>
          <w:bCs/>
          <w:b/>
        </w:rPr>
        <w:t xml:space="preserve">Figure 3.18</w:t>
      </w:r>
      <w:r>
        <w:t xml:space="preserve"> – Dossier vide et questions d’exemple</w:t>
      </w:r>
    </w:p>
    <w:bookmarkEnd w:id="137"/>
    <w:bookmarkStart w:id="147" w:name="une-question-traitée-de-bout-en-bout"/>
    <w:p>
      <w:pPr>
        <w:pStyle w:val="Heading3"/>
      </w:pPr>
      <w:r>
        <w:rPr>
          <w:rStyle w:val="SectionNumber"/>
        </w:rPr>
        <w:t xml:space="preserve">3.6.6</w:t>
      </w:r>
      <w:r>
        <w:tab/>
      </w:r>
      <w:r>
        <w:t xml:space="preserve">Une question traitée de bout en bout</w:t>
      </w:r>
    </w:p>
    <w:p>
      <w:pPr>
        <w:pStyle w:val="FirstParagraph"/>
      </w:pPr>
      <w:r>
        <w:t xml:space="preserve">La figure 3.19 montre une question libre posée sur Snowflake, sans correspondance avec les exemples : « Les 10 produits les plus vendus ? ». Le SQL a été généré par Ollama en 36,5 s. L’application choisit le type de graphique d’après les colonnes du résultat, ici un diagramme en barres horizontales, et affiche une courte phrase de synthèse. L’onglet SQL (figure 3.20) permet de vérifier la requête : elle somme la colonne</w:t>
      </w:r>
      <w:r>
        <w:t xml:space="preserve"> </w:t>
      </w:r>
      <w:r>
        <w:rPr>
          <w:rStyle w:val="VerbatimChar"/>
        </w:rPr>
        <w:t xml:space="preserve">quantity</w:t>
      </w:r>
      <w:r>
        <w:t xml:space="preserve"> </w:t>
      </w:r>
      <w:r>
        <w:t xml:space="preserve">de</w:t>
      </w:r>
      <w:r>
        <w:t xml:space="preserve"> </w:t>
      </w:r>
      <w:r>
        <w:rPr>
          <w:rStyle w:val="VerbatimChar"/>
        </w:rPr>
        <w:t xml:space="preserve">fct_sales</w:t>
      </w:r>
      <w:r>
        <w:t xml:space="preserve">, joint</w:t>
      </w:r>
      <w:r>
        <w:t xml:space="preserve"> </w:t>
      </w:r>
      <w:r>
        <w:rPr>
          <w:rStyle w:val="VerbatimChar"/>
        </w:rPr>
        <w:t xml:space="preserve">dim_products</w:t>
      </w:r>
      <w:r>
        <w:t xml:space="preserve"> </w:t>
      </w:r>
      <w:r>
        <w:t xml:space="preserve">sur la bonne clé et trie par quantité décroissante. Le premier produit,</w:t>
      </w:r>
      <w:r>
        <w:t xml:space="preserve"> </w:t>
      </w:r>
      <w:r>
        <w:rPr>
          <w:iCs/>
          <w:i/>
        </w:rPr>
        <w:t xml:space="preserve">Black and orange fragile despatch tape 48mmx75m</w:t>
      </w:r>
      <w:r>
        <w:t xml:space="preserve">, avec 207 324 unités, correspond au résultat d’une requête écrite à la main.</w:t>
      </w:r>
    </w:p>
    <w:p>
      <w:pPr>
        <w:pStyle w:val="CaptionedFigure"/>
      </w:pPr>
      <w:r>
        <w:drawing>
          <wp:inline>
            <wp:extent cx="5753100" cy="3406243"/>
            <wp:effectExtent b="0" l="0" r="0" t="0"/>
            <wp:docPr descr="Réponse à une question libre, SQL généré par Ollama" title="" id="139" name="Picture"/>
            <a:graphic>
              <a:graphicData uri="http://schemas.openxmlformats.org/drawingml/2006/picture">
                <pic:pic>
                  <pic:nvPicPr>
                    <pic:cNvPr descr="../../captures/capture22.png" id="140" name="Picture"/>
                    <pic:cNvPicPr>
                      <a:picLocks noChangeArrowheads="1" noChangeAspect="1"/>
                    </pic:cNvPicPr>
                  </pic:nvPicPr>
                  <pic:blipFill>
                    <a:blip r:embed="rId138"/>
                    <a:stretch>
                      <a:fillRect/>
                    </a:stretch>
                  </pic:blipFill>
                  <pic:spPr bwMode="auto">
                    <a:xfrm>
                      <a:off x="0" y="0"/>
                      <a:ext cx="5753100" cy="3406243"/>
                    </a:xfrm>
                    <a:prstGeom prst="rect">
                      <a:avLst/>
                    </a:prstGeom>
                    <a:noFill/>
                    <a:ln w="9525">
                      <a:noFill/>
                      <a:headEnd/>
                      <a:tailEnd/>
                    </a:ln>
                  </pic:spPr>
                </pic:pic>
              </a:graphicData>
            </a:graphic>
          </wp:inline>
        </w:drawing>
      </w:r>
    </w:p>
    <w:p>
      <w:pPr>
        <w:pStyle w:val="ImageCaption"/>
      </w:pPr>
      <w:r>
        <w:rPr>
          <w:bCs/>
          <w:b/>
        </w:rPr>
        <w:t xml:space="preserve">Figure 3.19</w:t>
      </w:r>
      <w:r>
        <w:t xml:space="preserve"> – Réponse à une question libre, SQL généré par Ollama</w:t>
      </w:r>
    </w:p>
    <w:p>
      <w:pPr>
        <w:pStyle w:val="CaptionedFigure"/>
      </w:pPr>
      <w:r>
        <w:drawing>
          <wp:inline>
            <wp:extent cx="5753100" cy="3421248"/>
            <wp:effectExtent b="0" l="0" r="0" t="0"/>
            <wp:docPr descr="Requête générée, affichée dans l’onglet SQL" title="" id="142" name="Picture"/>
            <a:graphic>
              <a:graphicData uri="http://schemas.openxmlformats.org/drawingml/2006/picture">
                <pic:pic>
                  <pic:nvPicPr>
                    <pic:cNvPr descr="../../captures/Capture23.png" id="143" name="Picture"/>
                    <pic:cNvPicPr>
                      <a:picLocks noChangeArrowheads="1" noChangeAspect="1"/>
                    </pic:cNvPicPr>
                  </pic:nvPicPr>
                  <pic:blipFill>
                    <a:blip r:embed="rId141"/>
                    <a:stretch>
                      <a:fillRect/>
                    </a:stretch>
                  </pic:blipFill>
                  <pic:spPr bwMode="auto">
                    <a:xfrm>
                      <a:off x="0" y="0"/>
                      <a:ext cx="5753100" cy="3421248"/>
                    </a:xfrm>
                    <a:prstGeom prst="rect">
                      <a:avLst/>
                    </a:prstGeom>
                    <a:noFill/>
                    <a:ln w="9525">
                      <a:noFill/>
                      <a:headEnd/>
                      <a:tailEnd/>
                    </a:ln>
                  </pic:spPr>
                </pic:pic>
              </a:graphicData>
            </a:graphic>
          </wp:inline>
        </w:drawing>
      </w:r>
    </w:p>
    <w:p>
      <w:pPr>
        <w:pStyle w:val="ImageCaption"/>
      </w:pPr>
      <w:r>
        <w:rPr>
          <w:bCs/>
          <w:b/>
        </w:rPr>
        <w:t xml:space="preserve">Figure 3.20</w:t>
      </w:r>
      <w:r>
        <w:t xml:space="preserve"> – Requête générée, affichée dans l’onglet SQL</w:t>
      </w:r>
    </w:p>
    <w:p>
      <w:pPr>
        <w:pStyle w:val="BodyText"/>
      </w:pPr>
      <w:r>
        <w:t xml:space="preserve">La page « À propos » (figure 3.21) rappelle le cadre du projet et l’architecture.</w:t>
      </w:r>
    </w:p>
    <w:p>
      <w:pPr>
        <w:pStyle w:val="CaptionedFigure"/>
      </w:pPr>
      <w:r>
        <w:drawing>
          <wp:inline>
            <wp:extent cx="5753100" cy="3097130"/>
            <wp:effectExtent b="0" l="0" r="0" t="0"/>
            <wp:docPr descr="Page « À propos »" title="" id="145" name="Picture"/>
            <a:graphic>
              <a:graphicData uri="http://schemas.openxmlformats.org/drawingml/2006/picture">
                <pic:pic>
                  <pic:nvPicPr>
                    <pic:cNvPr descr="../../captures/Capture21.png" id="146" name="Picture"/>
                    <pic:cNvPicPr>
                      <a:picLocks noChangeArrowheads="1" noChangeAspect="1"/>
                    </pic:cNvPicPr>
                  </pic:nvPicPr>
                  <pic:blipFill>
                    <a:blip r:embed="rId144"/>
                    <a:stretch>
                      <a:fillRect/>
                    </a:stretch>
                  </pic:blipFill>
                  <pic:spPr bwMode="auto">
                    <a:xfrm>
                      <a:off x="0" y="0"/>
                      <a:ext cx="5753100" cy="3097130"/>
                    </a:xfrm>
                    <a:prstGeom prst="rect">
                      <a:avLst/>
                    </a:prstGeom>
                    <a:noFill/>
                    <a:ln w="9525">
                      <a:noFill/>
                      <a:headEnd/>
                      <a:tailEnd/>
                    </a:ln>
                  </pic:spPr>
                </pic:pic>
              </a:graphicData>
            </a:graphic>
          </wp:inline>
        </w:drawing>
      </w:r>
    </w:p>
    <w:p>
      <w:pPr>
        <w:pStyle w:val="ImageCaption"/>
      </w:pPr>
      <w:r>
        <w:rPr>
          <w:bCs/>
          <w:b/>
        </w:rPr>
        <w:t xml:space="preserve">Figure 3.21</w:t>
      </w:r>
      <w:r>
        <w:t xml:space="preserve"> – Page « À propos »</w:t>
      </w:r>
    </w:p>
    <w:bookmarkEnd w:id="147"/>
    <w:bookmarkEnd w:id="148"/>
    <w:bookmarkEnd w:id="149"/>
    <w:bookmarkStart w:id="174" w:name="résultats-et-discussion"/>
    <w:p>
      <w:pPr>
        <w:pStyle w:val="Heading1"/>
      </w:pPr>
      <w:r>
        <w:rPr>
          <w:rStyle w:val="SectionNumber"/>
        </w:rPr>
        <w:t xml:space="preserve">4</w:t>
      </w:r>
      <w:r>
        <w:tab/>
      </w:r>
      <w:r>
        <w:t xml:space="preserve">Résultats et discussion</w:t>
      </w:r>
    </w:p>
    <w:bookmarkStart w:id="151" w:name="volumes-et-qualité-des-données"/>
    <w:p>
      <w:pPr>
        <w:pStyle w:val="Heading2"/>
      </w:pPr>
      <w:r>
        <w:rPr>
          <w:rStyle w:val="SectionNumber"/>
        </w:rPr>
        <w:t xml:space="preserve">4.1</w:t>
      </w:r>
      <w:r>
        <w:tab/>
      </w:r>
      <w:r>
        <w:t xml:space="preserve">Volumes et qualité des données</w:t>
      </w:r>
    </w:p>
    <w:p>
      <w:pPr>
        <w:pStyle w:val="FirstParagraph"/>
      </w:pPr>
      <w:r>
        <w:t xml:space="preserve">La chaîne complète s’exécute sans erreur sur Snowflake. Le tableau 4.1 donne le contenu de la couche Gold après exécution.</w:t>
      </w:r>
    </w:p>
    <w:bookmarkStart w:id="150" w:name="tab:gold"/>
    <w:p>
      <w:pPr>
        <w:pStyle w:val="TableCaption"/>
      </w:pPr>
      <w:r>
        <w:rPr>
          <w:bCs/>
          <w:b/>
        </w:rPr>
        <w:t xml:space="preserve">Tableau 4.1</w:t>
      </w:r>
      <w:r>
        <w:t xml:space="preserve"> – Contenu de la couche Gold dans Snowflake</w:t>
      </w:r>
    </w:p>
    <w:tbl>
      <w:tblPr>
        <w:tblStyle w:val="Table"/>
        <w:tblW w:type="auto" w:w="0"/>
        <w:tblLook w:firstRow="1" w:lastRow="0" w:firstColumn="0" w:lastColumn="0" w:noHBand="0" w:noVBand="0" w:val="0020"/>
        <w:jc w:val="start"/>
        <w:tblCaption w:val="Tableau 4.1 – Contenu de la couche Gold dans Snowflake"/>
      </w:tblPr>
      <w:tblGrid>
        <w:gridCol w:w="2640"/>
        <w:gridCol w:w="2640"/>
        <w:gridCol w:w="2640"/>
      </w:tblGrid>
      <w:tr>
        <w:trPr>
          <w:tblHeader w:val="true"/>
        </w:trPr>
        <w:tc>
          <w:tcPr/>
          <w:p>
            <w:pPr>
              <w:pStyle w:val="Compact"/>
              <w:jc w:val="left"/>
            </w:pPr>
            <w:r>
              <w:t xml:space="preserve">Table</w:t>
            </w:r>
          </w:p>
        </w:tc>
        <w:tc>
          <w:tcPr/>
          <w:p>
            <w:pPr>
              <w:pStyle w:val="Compact"/>
              <w:jc w:val="right"/>
            </w:pPr>
            <w:r>
              <w:t xml:space="preserve">Lignes</w:t>
            </w:r>
          </w:p>
        </w:tc>
        <w:tc>
          <w:tcPr/>
          <w:p>
            <w:pPr>
              <w:pStyle w:val="Compact"/>
              <w:jc w:val="left"/>
            </w:pPr>
            <w:r>
              <w:t xml:space="preserve">Contenu</w:t>
            </w:r>
          </w:p>
        </w:tc>
      </w:tr>
      <w:tr>
        <w:tc>
          <w:tcPr/>
          <w:p>
            <w:pPr>
              <w:pStyle w:val="Compact"/>
              <w:jc w:val="left"/>
            </w:pPr>
            <w:r>
              <w:rPr>
                <w:rStyle w:val="VerbatimChar"/>
              </w:rPr>
              <w:t xml:space="preserve">fct_sales</w:t>
            </w:r>
          </w:p>
        </w:tc>
        <w:tc>
          <w:tcPr/>
          <w:p>
            <w:pPr>
              <w:pStyle w:val="Compact"/>
              <w:jc w:val="right"/>
            </w:pPr>
            <w:r>
              <w:t xml:space="preserve">231 412</w:t>
            </w:r>
          </w:p>
        </w:tc>
        <w:tc>
          <w:tcPr/>
          <w:p>
            <w:pPr>
              <w:pStyle w:val="Compact"/>
              <w:jc w:val="left"/>
            </w:pPr>
            <w:r>
              <w:t xml:space="preserve">une ligne par ligne de commande</w:t>
            </w:r>
          </w:p>
        </w:tc>
      </w:tr>
      <w:tr>
        <w:tc>
          <w:tcPr/>
          <w:p>
            <w:pPr>
              <w:pStyle w:val="Compact"/>
              <w:jc w:val="left"/>
            </w:pPr>
            <w:r>
              <w:rPr>
                <w:rStyle w:val="VerbatimChar"/>
              </w:rPr>
              <w:t xml:space="preserve">fct_invoice_lines</w:t>
            </w:r>
          </w:p>
        </w:tc>
        <w:tc>
          <w:tcPr/>
          <w:p>
            <w:pPr>
              <w:pStyle w:val="Compact"/>
              <w:jc w:val="right"/>
            </w:pPr>
            <w:r>
              <w:t xml:space="preserve">228 265</w:t>
            </w:r>
          </w:p>
        </w:tc>
        <w:tc>
          <w:tcPr/>
          <w:p>
            <w:pPr>
              <w:pStyle w:val="Compact"/>
              <w:jc w:val="left"/>
            </w:pPr>
            <w:r>
              <w:t xml:space="preserve">une ligne par ligne de facture</w:t>
            </w:r>
          </w:p>
        </w:tc>
      </w:tr>
      <w:tr>
        <w:tc>
          <w:tcPr/>
          <w:p>
            <w:pPr>
              <w:pStyle w:val="Compact"/>
              <w:jc w:val="left"/>
            </w:pPr>
            <w:r>
              <w:rPr>
                <w:rStyle w:val="VerbatimChar"/>
              </w:rPr>
              <w:t xml:space="preserve">dim_date</w:t>
            </w:r>
          </w:p>
        </w:tc>
        <w:tc>
          <w:tcPr/>
          <w:p>
            <w:pPr>
              <w:pStyle w:val="Compact"/>
              <w:jc w:val="right"/>
            </w:pPr>
            <w:r>
              <w:t xml:space="preserve">1 461</w:t>
            </w:r>
          </w:p>
        </w:tc>
        <w:tc>
          <w:tcPr/>
          <w:p>
            <w:pPr>
              <w:pStyle w:val="Compact"/>
              <w:jc w:val="left"/>
            </w:pPr>
            <w:r>
              <w:t xml:space="preserve">un jour par ligne, de 2013 à 2016</w:t>
            </w:r>
          </w:p>
        </w:tc>
      </w:tr>
      <w:tr>
        <w:tc>
          <w:tcPr/>
          <w:p>
            <w:pPr>
              <w:pStyle w:val="Compact"/>
              <w:jc w:val="left"/>
            </w:pPr>
            <w:r>
              <w:rPr>
                <w:rStyle w:val="VerbatimChar"/>
              </w:rPr>
              <w:t xml:space="preserve">dim_customers</w:t>
            </w:r>
          </w:p>
        </w:tc>
        <w:tc>
          <w:tcPr/>
          <w:p>
            <w:pPr>
              <w:pStyle w:val="Compact"/>
              <w:jc w:val="right"/>
            </w:pPr>
            <w:r>
              <w:t xml:space="preserve">663</w:t>
            </w:r>
          </w:p>
        </w:tc>
        <w:tc>
          <w:tcPr/>
          <w:p>
            <w:pPr>
              <w:pStyle w:val="Compact"/>
              <w:jc w:val="left"/>
            </w:pPr>
            <w:r>
              <w:t xml:space="preserve">clients et ville de livraison</w:t>
            </w:r>
          </w:p>
        </w:tc>
      </w:tr>
      <w:tr>
        <w:tc>
          <w:tcPr/>
          <w:p>
            <w:pPr>
              <w:pStyle w:val="Compact"/>
              <w:jc w:val="left"/>
            </w:pPr>
            <w:r>
              <w:rPr>
                <w:rStyle w:val="VerbatimChar"/>
              </w:rPr>
              <w:t xml:space="preserve">dim_products</w:t>
            </w:r>
          </w:p>
        </w:tc>
        <w:tc>
          <w:tcPr/>
          <w:p>
            <w:pPr>
              <w:pStyle w:val="Compact"/>
              <w:jc w:val="right"/>
            </w:pPr>
            <w:r>
              <w:t xml:space="preserve">227</w:t>
            </w:r>
          </w:p>
        </w:tc>
        <w:tc>
          <w:tcPr/>
          <w:p>
            <w:pPr>
              <w:pStyle w:val="Compact"/>
              <w:jc w:val="left"/>
            </w:pPr>
            <w:r>
              <w:t xml:space="preserve">articles en stock</w:t>
            </w:r>
          </w:p>
        </w:tc>
      </w:tr>
      <w:tr>
        <w:tc>
          <w:tcPr/>
          <w:p>
            <w:pPr>
              <w:pStyle w:val="Compact"/>
              <w:jc w:val="left"/>
            </w:pPr>
            <w:r>
              <w:rPr>
                <w:rStyle w:val="VerbatimChar"/>
              </w:rPr>
              <w:t xml:space="preserve">dim_salespeople</w:t>
            </w:r>
          </w:p>
        </w:tc>
        <w:tc>
          <w:tcPr/>
          <w:p>
            <w:pPr>
              <w:pStyle w:val="Compact"/>
              <w:jc w:val="right"/>
            </w:pPr>
            <w:r>
              <w:t xml:space="preserve">10</w:t>
            </w:r>
          </w:p>
        </w:tc>
        <w:tc>
          <w:tcPr/>
          <w:p>
            <w:pPr>
              <w:pStyle w:val="Compact"/>
              <w:jc w:val="left"/>
            </w:pPr>
            <w:r>
              <w:t xml:space="preserve">personnes ayant le statut de vendeur</w:t>
            </w:r>
          </w:p>
        </w:tc>
      </w:tr>
    </w:tbl>
    <w:bookmarkEnd w:id="150"/>
    <w:p>
      <w:pPr>
        <w:pStyle w:val="BodyText"/>
      </w:pPr>
      <w:r>
        <w:t xml:space="preserve">Les volumes des tables de faits sont identiques à ceux des tables Bronze correspondantes : 231 412 lignes de commande et 228 265 lignes de facture. Les jointures de la couche Silver n’ont donc ni perdu ni dupliqué de lignes, ce que confirment aussi les tests</w:t>
      </w:r>
      <w:r>
        <w:t xml:space="preserve"> </w:t>
      </w:r>
      <w:r>
        <w:rPr>
          <w:rStyle w:val="VerbatimChar"/>
        </w:rPr>
        <w:t xml:space="preserve">unique</w:t>
      </w:r>
      <w:r>
        <w:t xml:space="preserve"> </w:t>
      </w:r>
      <w:r>
        <w:t xml:space="preserve">sur les clés des faits. Les dix-huit tests de qualité réussissent tous lors de l’exécution de référence.</w:t>
      </w:r>
    </w:p>
    <w:bookmarkEnd w:id="151"/>
    <w:bookmarkStart w:id="153" w:name="performances"/>
    <w:p>
      <w:pPr>
        <w:pStyle w:val="Heading2"/>
      </w:pPr>
      <w:r>
        <w:rPr>
          <w:rStyle w:val="SectionNumber"/>
        </w:rPr>
        <w:t xml:space="preserve">4.2</w:t>
      </w:r>
      <w:r>
        <w:tab/>
      </w:r>
      <w:r>
        <w:t xml:space="preserve">Performances</w:t>
      </w:r>
    </w:p>
    <w:p>
      <w:pPr>
        <w:pStyle w:val="FirstParagraph"/>
      </w:pPr>
      <w:r>
        <w:t xml:space="preserve">Le tableau 4.2 regroupe les durées mesurées. Celles de la chaîne proviennent de Dagster ; celles de l’application sont enregistrées avec chaque analyse.</w:t>
      </w:r>
    </w:p>
    <w:bookmarkStart w:id="152" w:name="tab:perf"/>
    <w:p>
      <w:pPr>
        <w:pStyle w:val="TableCaption"/>
      </w:pPr>
      <w:r>
        <w:rPr>
          <w:bCs/>
          <w:b/>
        </w:rPr>
        <w:t xml:space="preserve">Tableau 4.2</w:t>
      </w:r>
      <w:r>
        <w:t xml:space="preserve"> – Durées mesurées sur la plateforme</w:t>
      </w:r>
    </w:p>
    <w:tbl>
      <w:tblPr>
        <w:tblStyle w:val="Table"/>
        <w:tblW w:type="auto" w:w="0"/>
        <w:tblLook w:firstRow="1" w:lastRow="0" w:firstColumn="0" w:lastColumn="0" w:noHBand="0" w:noVBand="0" w:val="0020"/>
        <w:jc w:val="start"/>
        <w:tblCaption w:val="Tableau 4.2 – Durées mesurées sur la plateforme"/>
      </w:tblPr>
      <w:tblGrid>
        <w:gridCol w:w="3960"/>
        <w:gridCol w:w="3960"/>
      </w:tblGrid>
      <w:tr>
        <w:trPr>
          <w:tblHeader w:val="true"/>
        </w:trPr>
        <w:tc>
          <w:tcPr/>
          <w:p>
            <w:pPr>
              <w:pStyle w:val="Compact"/>
              <w:jc w:val="left"/>
            </w:pPr>
            <w:r>
              <w:t xml:space="preserve">Opération</w:t>
            </w:r>
          </w:p>
        </w:tc>
        <w:tc>
          <w:tcPr/>
          <w:p>
            <w:pPr>
              <w:pStyle w:val="Compact"/>
              <w:jc w:val="center"/>
            </w:pPr>
            <w:r>
              <w:t xml:space="preserve">Durée</w:t>
            </w:r>
          </w:p>
        </w:tc>
      </w:tr>
      <w:tr>
        <w:tc>
          <w:tcPr/>
          <w:p>
            <w:pPr>
              <w:pStyle w:val="Compact"/>
              <w:jc w:val="left"/>
            </w:pPr>
            <w:r>
              <w:t xml:space="preserve">Ingestion DLT des dix tables (chargement initial)</w:t>
            </w:r>
          </w:p>
        </w:tc>
        <w:tc>
          <w:tcPr/>
          <w:p>
            <w:pPr>
              <w:pStyle w:val="Compact"/>
              <w:jc w:val="center"/>
            </w:pPr>
            <w:r>
              <w:t xml:space="preserve">4 min 33 s</w:t>
            </w:r>
          </w:p>
        </w:tc>
      </w:tr>
      <w:tr>
        <w:tc>
          <w:tcPr/>
          <w:p>
            <w:pPr>
              <w:pStyle w:val="Compact"/>
              <w:jc w:val="left"/>
            </w:pPr>
            <w:r>
              <w:t xml:space="preserve">Construction et tests dbt (31 nœuds)</w:t>
            </w:r>
          </w:p>
        </w:tc>
        <w:tc>
          <w:tcPr/>
          <w:p>
            <w:pPr>
              <w:pStyle w:val="Compact"/>
              <w:jc w:val="center"/>
            </w:pPr>
            <w:r>
              <w:t xml:space="preserve">23,28 s</w:t>
            </w:r>
          </w:p>
        </w:tc>
      </w:tr>
      <w:tr>
        <w:tc>
          <w:tcPr/>
          <w:p>
            <w:pPr>
              <w:pStyle w:val="Compact"/>
              <w:jc w:val="left"/>
            </w:pPr>
            <w:r>
              <w:t xml:space="preserve">Exécution complète du job</w:t>
            </w:r>
            <w:r>
              <w:t xml:space="preserve"> </w:t>
            </w:r>
            <w:r>
              <w:rPr>
                <w:rStyle w:val="VerbatimChar"/>
              </w:rPr>
              <w:t xml:space="preserve">pipeline_complet</w:t>
            </w:r>
          </w:p>
        </w:tc>
        <w:tc>
          <w:tcPr/>
          <w:p>
            <w:pPr>
              <w:pStyle w:val="Compact"/>
              <w:jc w:val="center"/>
            </w:pPr>
            <w:r>
              <w:t xml:space="preserve">7 min 28 s</w:t>
            </w:r>
          </w:p>
        </w:tc>
      </w:tr>
      <w:tr>
        <w:tc>
          <w:tcPr/>
          <w:p>
            <w:pPr>
              <w:pStyle w:val="Compact"/>
              <w:jc w:val="left"/>
            </w:pPr>
            <w:r>
              <w:t xml:space="preserve">Génération du SQL par Ollama (questions libres)</w:t>
            </w:r>
          </w:p>
        </w:tc>
        <w:tc>
          <w:tcPr/>
          <w:p>
            <w:pPr>
              <w:pStyle w:val="Compact"/>
              <w:jc w:val="center"/>
            </w:pPr>
            <w:r>
              <w:t xml:space="preserve">29 à 37 s</w:t>
            </w:r>
          </w:p>
        </w:tc>
      </w:tr>
      <w:tr>
        <w:tc>
          <w:tcPr/>
          <w:p>
            <w:pPr>
              <w:pStyle w:val="Compact"/>
              <w:jc w:val="left"/>
            </w:pPr>
            <w:r>
              <w:t xml:space="preserve">Question déjà posée (SQL en cache)</w:t>
            </w:r>
          </w:p>
        </w:tc>
        <w:tc>
          <w:tcPr/>
          <w:p>
            <w:pPr>
              <w:pStyle w:val="Compact"/>
              <w:jc w:val="center"/>
            </w:pPr>
            <w:r>
              <w:t xml:space="preserve">environ 0,3 s</w:t>
            </w:r>
          </w:p>
        </w:tc>
      </w:tr>
    </w:tbl>
    <w:bookmarkEnd w:id="152"/>
    <w:p>
      <w:pPr>
        <w:pStyle w:val="BodyText"/>
      </w:pPr>
      <w:r>
        <w:t xml:space="preserve">L’ingestion représente l’essentiel du temps. Les exécutions suivantes seront plus courtes, puisque les quatre tables de faits ne transfèrent alors que les lignes modifiées. Les transformations dbt sont rapides, même sur le plus petit warehouse Snowflake.</w:t>
      </w:r>
    </w:p>
    <w:p>
      <w:pPr>
        <w:pStyle w:val="BodyText"/>
      </w:pPr>
      <w:r>
        <w:t xml:space="preserve">La latence de l’application est dominée par la génération du SQL. Ollama tourne ici sur le processeur d’un ordinateur portable, sans carte graphique : un modèle de sept milliards de paramètres y produit une requête en une trentaine de secondes.</w:t>
      </w:r>
    </w:p>
    <w:bookmarkEnd w:id="153"/>
    <w:bookmarkStart w:id="169" w:name="réponses-aux-questions-de-la-consigne"/>
    <w:p>
      <w:pPr>
        <w:pStyle w:val="Heading2"/>
      </w:pPr>
      <w:r>
        <w:rPr>
          <w:rStyle w:val="SectionNumber"/>
        </w:rPr>
        <w:t xml:space="preserve">4.3</w:t>
      </w:r>
      <w:r>
        <w:tab/>
      </w:r>
      <w:r>
        <w:t xml:space="preserve">Réponses aux questions de la consigne</w:t>
      </w:r>
    </w:p>
    <w:p>
      <w:pPr>
        <w:pStyle w:val="FirstParagraph"/>
      </w:pPr>
      <w:r>
        <w:t xml:space="preserve">Les trois questions de la consigne ont été posées dans l’application. Les figures de cette section proviennent d’une exécution sur la base DuckDB locale, qui contient les mêmes données que Snowflake ; les montants ont été vérifiés sur les deux.</w:t>
      </w:r>
    </w:p>
    <w:bookmarkStart w:id="160" w:name="les-dix-meilleurs-clients"/>
    <w:p>
      <w:pPr>
        <w:pStyle w:val="Heading3"/>
      </w:pPr>
      <w:r>
        <w:rPr>
          <w:rStyle w:val="SectionNumber"/>
        </w:rPr>
        <w:t xml:space="preserve">4.3.1</w:t>
      </w:r>
      <w:r>
        <w:tab/>
      </w:r>
      <w:r>
        <w:t xml:space="preserve">Les dix meilleurs clients</w:t>
      </w:r>
    </w:p>
    <w:p>
      <w:pPr>
        <w:pStyle w:val="FirstParagraph"/>
      </w:pPr>
      <w:r>
        <w:t xml:space="preserve">Le meilleur client est</w:t>
      </w:r>
      <w:r>
        <w:t xml:space="preserve"> </w:t>
      </w:r>
      <w:r>
        <w:rPr>
          <w:iCs/>
          <w:i/>
        </w:rPr>
        <w:t xml:space="preserve">Tailspin Toys (Inguadona, MN)</w:t>
      </w:r>
      <w:r>
        <w:t xml:space="preserve">, avec 384 393 $ de chiffre d’affaires hors taxes sur la période (figure 4.1). L’écart entre les dix premiers clients est faible, et ils ne représentent ensemble que 3,71 M$, soit 2,1 % du chiffre d’affaires total de 177,6 M$. La clientèle de Wide World Importers est donc très dispersée : aucun client ne pèse assez pour mettre l’entreprise en difficulté s’il partait.</w:t>
      </w:r>
    </w:p>
    <w:p>
      <w:pPr>
        <w:pStyle w:val="CaptionedFigure"/>
      </w:pPr>
      <w:r>
        <w:drawing>
          <wp:inline>
            <wp:extent cx="5465445" cy="3248162"/>
            <wp:effectExtent b="0" l="0" r="0" t="0"/>
            <wp:docPr descr="Les dix meilleurs clients par chiffre d’affaires (exécution locale DuckDB)" title="" id="155" name="Picture"/>
            <a:graphic>
              <a:graphicData uri="http://schemas.openxmlformats.org/drawingml/2006/picture">
                <pic:pic>
                  <pic:nvPicPr>
                    <pic:cNvPr descr="figures/app_q1_top_clients_graphique.png" id="156" name="Picture"/>
                    <pic:cNvPicPr>
                      <a:picLocks noChangeArrowheads="1" noChangeAspect="1"/>
                    </pic:cNvPicPr>
                  </pic:nvPicPr>
                  <pic:blipFill>
                    <a:blip r:embed="rId154"/>
                    <a:stretch>
                      <a:fillRect/>
                    </a:stretch>
                  </pic:blipFill>
                  <pic:spPr bwMode="auto">
                    <a:xfrm>
                      <a:off x="0" y="0"/>
                      <a:ext cx="5465445" cy="3248162"/>
                    </a:xfrm>
                    <a:prstGeom prst="rect">
                      <a:avLst/>
                    </a:prstGeom>
                    <a:noFill/>
                    <a:ln w="9525">
                      <a:noFill/>
                      <a:headEnd/>
                      <a:tailEnd/>
                    </a:ln>
                  </pic:spPr>
                </pic:pic>
              </a:graphicData>
            </a:graphic>
          </wp:inline>
        </w:drawing>
      </w:r>
    </w:p>
    <w:p>
      <w:pPr>
        <w:pStyle w:val="ImageCaption"/>
      </w:pPr>
      <w:r>
        <w:rPr>
          <w:bCs/>
          <w:b/>
        </w:rPr>
        <w:t xml:space="preserve">Figure 4.1</w:t>
      </w:r>
      <w:r>
        <w:t xml:space="preserve"> – Les dix meilleurs clients par chiffre d’affaires (exécution locale DuckDB)</w:t>
      </w:r>
    </w:p>
    <w:p>
      <w:pPr>
        <w:pStyle w:val="BodyText"/>
      </w:pPr>
      <w:r>
        <w:t xml:space="preserve">Le tableau de résultat et le SQL exécuté sont accessibles dans deux autres onglets (figure 4.2).</w:t>
      </w:r>
    </w:p>
    <w:p>
      <w:pPr>
        <w:pStyle w:val="CaptionedFigure"/>
      </w:pPr>
      <w:r>
        <w:drawing>
          <wp:inline>
            <wp:extent cx="5465445" cy="2359472"/>
            <wp:effectExtent b="0" l="0" r="0" t="0"/>
            <wp:docPr descr="Requête exécutée pour la première question" title="" id="158" name="Picture"/>
            <a:graphic>
              <a:graphicData uri="http://schemas.openxmlformats.org/drawingml/2006/picture">
                <pic:pic>
                  <pic:nvPicPr>
                    <pic:cNvPr descr="figures/app_q1_top_clients_sql.png" id="159" name="Picture"/>
                    <pic:cNvPicPr>
                      <a:picLocks noChangeArrowheads="1" noChangeAspect="1"/>
                    </pic:cNvPicPr>
                  </pic:nvPicPr>
                  <pic:blipFill>
                    <a:blip r:embed="rId157"/>
                    <a:stretch>
                      <a:fillRect/>
                    </a:stretch>
                  </pic:blipFill>
                  <pic:spPr bwMode="auto">
                    <a:xfrm>
                      <a:off x="0" y="0"/>
                      <a:ext cx="5465445" cy="2359472"/>
                    </a:xfrm>
                    <a:prstGeom prst="rect">
                      <a:avLst/>
                    </a:prstGeom>
                    <a:noFill/>
                    <a:ln w="9525">
                      <a:noFill/>
                      <a:headEnd/>
                      <a:tailEnd/>
                    </a:ln>
                  </pic:spPr>
                </pic:pic>
              </a:graphicData>
            </a:graphic>
          </wp:inline>
        </w:drawing>
      </w:r>
    </w:p>
    <w:p>
      <w:pPr>
        <w:pStyle w:val="ImageCaption"/>
      </w:pPr>
      <w:r>
        <w:rPr>
          <w:bCs/>
          <w:b/>
        </w:rPr>
        <w:t xml:space="preserve">Figure 4.2</w:t>
      </w:r>
      <w:r>
        <w:t xml:space="preserve"> – Requête exécutée pour la première question</w:t>
      </w:r>
    </w:p>
    <w:bookmarkEnd w:id="160"/>
    <w:bookmarkStart w:id="164" w:name="les-ventes-par-mois"/>
    <w:p>
      <w:pPr>
        <w:pStyle w:val="Heading3"/>
      </w:pPr>
      <w:r>
        <w:rPr>
          <w:rStyle w:val="SectionNumber"/>
        </w:rPr>
        <w:t xml:space="preserve">4.3.2</w:t>
      </w:r>
      <w:r>
        <w:tab/>
      </w:r>
      <w:r>
        <w:t xml:space="preserve">Les ventes par mois</w:t>
      </w:r>
    </w:p>
    <w:p>
      <w:pPr>
        <w:pStyle w:val="FirstParagraph"/>
      </w:pPr>
      <w:r>
        <w:t xml:space="preserve">Les ventes couvrent 41 mois, de janvier 2013 à mai 2016 (figure 4.3). Le chiffre d’affaires mensuel moyen est de 4,33 M$. Le mois le plus faible est février 2013 (2,82 M$) et le plus fort juillet 2015 (5,34 M$). La tendance est à la hausse : le chiffre d’affaires annuel passe de 46,9 M$ en 2013 à 51,5 M$ en 2014 puis 55,8 M$ en 2015, soit environ 9 % de croissance par an. L’année 2016 n’est couverte que sur cinq mois (23,4 M$).</w:t>
      </w:r>
    </w:p>
    <w:p>
      <w:pPr>
        <w:pStyle w:val="CaptionedFigure"/>
      </w:pPr>
      <w:r>
        <w:drawing>
          <wp:inline>
            <wp:extent cx="5465445" cy="3514769"/>
            <wp:effectExtent b="0" l="0" r="0" t="0"/>
            <wp:docPr descr="Chiffre d’affaires par mois (exécution locale DuckDB)" title="" id="162" name="Picture"/>
            <a:graphic>
              <a:graphicData uri="http://schemas.openxmlformats.org/drawingml/2006/picture">
                <pic:pic>
                  <pic:nvPicPr>
                    <pic:cNvPr descr="figures/app_q2_ventes_mois_graphique.png" id="163" name="Picture"/>
                    <pic:cNvPicPr>
                      <a:picLocks noChangeArrowheads="1" noChangeAspect="1"/>
                    </pic:cNvPicPr>
                  </pic:nvPicPr>
                  <pic:blipFill>
                    <a:blip r:embed="rId161"/>
                    <a:stretch>
                      <a:fillRect/>
                    </a:stretch>
                  </pic:blipFill>
                  <pic:spPr bwMode="auto">
                    <a:xfrm>
                      <a:off x="0" y="0"/>
                      <a:ext cx="5465445" cy="3514769"/>
                    </a:xfrm>
                    <a:prstGeom prst="rect">
                      <a:avLst/>
                    </a:prstGeom>
                    <a:noFill/>
                    <a:ln w="9525">
                      <a:noFill/>
                      <a:headEnd/>
                      <a:tailEnd/>
                    </a:ln>
                  </pic:spPr>
                </pic:pic>
              </a:graphicData>
            </a:graphic>
          </wp:inline>
        </w:drawing>
      </w:r>
    </w:p>
    <w:p>
      <w:pPr>
        <w:pStyle w:val="ImageCaption"/>
      </w:pPr>
      <w:r>
        <w:rPr>
          <w:bCs/>
          <w:b/>
        </w:rPr>
        <w:t xml:space="preserve">Figure 4.3</w:t>
      </w:r>
      <w:r>
        <w:t xml:space="preserve"> – Chiffre d’affaires par mois (exécution locale DuckDB)</w:t>
      </w:r>
    </w:p>
    <w:bookmarkEnd w:id="164"/>
    <w:bookmarkStart w:id="168" w:name="les-produits-les-plus-rentables"/>
    <w:p>
      <w:pPr>
        <w:pStyle w:val="Heading3"/>
      </w:pPr>
      <w:r>
        <w:rPr>
          <w:rStyle w:val="SectionNumber"/>
        </w:rPr>
        <w:t xml:space="preserve">4.3.3</w:t>
      </w:r>
      <w:r>
        <w:tab/>
      </w:r>
      <w:r>
        <w:t xml:space="preserve">Les produits les plus rentables</w:t>
      </w:r>
    </w:p>
    <w:p>
      <w:pPr>
        <w:pStyle w:val="FirstParagraph"/>
      </w:pPr>
      <w:r>
        <w:t xml:space="preserve">Le bénéfice total s’élève à 85,7 M$, soit environ 48 % du chiffre d’affaires hors taxes. Les produits les plus rentables sont des articles d’emballage : le papier bulle double face de 20 mm en rouleau de 50 m (5,29 M$ de bénéfice) et la machine à coussins d’air bleue (4,44 M$), comme le montre la figure 4.4. Cette réponse n’était possible qu’avec la seconde table de faits, puisque le bénéfice n’est connu qu’à la facturation.</w:t>
      </w:r>
    </w:p>
    <w:p>
      <w:pPr>
        <w:pStyle w:val="CaptionedFigure"/>
      </w:pPr>
      <w:r>
        <w:drawing>
          <wp:inline>
            <wp:extent cx="5465445" cy="3248162"/>
            <wp:effectExtent b="0" l="0" r="0" t="0"/>
            <wp:docPr descr="Les produits qui génèrent le plus de bénéfice (exécution locale DuckDB)" title="" id="166" name="Picture"/>
            <a:graphic>
              <a:graphicData uri="http://schemas.openxmlformats.org/drawingml/2006/picture">
                <pic:pic>
                  <pic:nvPicPr>
                    <pic:cNvPr descr="figures/app_q3_produits_benefice_graphique.png" id="167" name="Picture"/>
                    <pic:cNvPicPr>
                      <a:picLocks noChangeArrowheads="1" noChangeAspect="1"/>
                    </pic:cNvPicPr>
                  </pic:nvPicPr>
                  <pic:blipFill>
                    <a:blip r:embed="rId165"/>
                    <a:stretch>
                      <a:fillRect/>
                    </a:stretch>
                  </pic:blipFill>
                  <pic:spPr bwMode="auto">
                    <a:xfrm>
                      <a:off x="0" y="0"/>
                      <a:ext cx="5465445" cy="3248162"/>
                    </a:xfrm>
                    <a:prstGeom prst="rect">
                      <a:avLst/>
                    </a:prstGeom>
                    <a:noFill/>
                    <a:ln w="9525">
                      <a:noFill/>
                      <a:headEnd/>
                      <a:tailEnd/>
                    </a:ln>
                  </pic:spPr>
                </pic:pic>
              </a:graphicData>
            </a:graphic>
          </wp:inline>
        </w:drawing>
      </w:r>
    </w:p>
    <w:p>
      <w:pPr>
        <w:pStyle w:val="ImageCaption"/>
      </w:pPr>
      <w:r>
        <w:rPr>
          <w:bCs/>
          <w:b/>
        </w:rPr>
        <w:t xml:space="preserve">Figure 4.4</w:t>
      </w:r>
      <w:r>
        <w:t xml:space="preserve"> – Les produits qui génèrent le plus de bénéfice (exécution locale DuckDB)</w:t>
      </w:r>
    </w:p>
    <w:bookmarkEnd w:id="168"/>
    <w:bookmarkEnd w:id="169"/>
    <w:bookmarkStart w:id="170" w:name="évaluation-du-text-to-sql"/>
    <w:p>
      <w:pPr>
        <w:pStyle w:val="Heading2"/>
      </w:pPr>
      <w:r>
        <w:rPr>
          <w:rStyle w:val="SectionNumber"/>
        </w:rPr>
        <w:t xml:space="preserve">4.4</w:t>
      </w:r>
      <w:r>
        <w:tab/>
      </w:r>
      <w:r>
        <w:t xml:space="preserve">Évaluation du Text-to-SQL</w:t>
      </w:r>
    </w:p>
    <w:p>
      <w:pPr>
        <w:pStyle w:val="FirstParagraph"/>
      </w:pPr>
      <w:r>
        <w:t xml:space="preserve">Les huit questions d’exemple ont un SQL écrit et vérifié à la main ; elles ne mesurent donc pas le modèle. Pour les questions libres, nous avons testé un petit nombre de formulations sur Snowflake avec Ollama, par exemple « Les 10 produits les plus vendus ? », présentée au chapitre 3. Sur ces essais, le SQL produit était correct : bonnes tables, bonnes jointures et bonne mesure, avec un résultat identique à celui d’une requête écrite à la main.</w:t>
      </w:r>
    </w:p>
    <w:p>
      <w:pPr>
        <w:pStyle w:val="BodyText"/>
      </w:pPr>
      <w:r>
        <w:t xml:space="preserve">Ce constat doit rester prudent. Le nombre de questions testées est trop faible pour donner un taux de réussite, et elles portaient toutes sur des agrégations simples. Une évaluation sérieuse demanderait un jeu d’une cinquantaine de questions avec leur réponse attendue, comparées automatiquement au résultat de l’application. Elle permettrait aussi de mesurer l’effet des règles métier de la consigne (code 3.12), que nous avons ajoutées par précaution sans en mesurer l’apport.</w:t>
      </w:r>
    </w:p>
    <w:bookmarkEnd w:id="170"/>
    <w:bookmarkStart w:id="172" w:name="difficultés-rencontrées"/>
    <w:p>
      <w:pPr>
        <w:pStyle w:val="Heading2"/>
      </w:pPr>
      <w:r>
        <w:rPr>
          <w:rStyle w:val="SectionNumber"/>
        </w:rPr>
        <w:t xml:space="preserve">4.5</w:t>
      </w:r>
      <w:r>
        <w:tab/>
      </w:r>
      <w:r>
        <w:t xml:space="preserve">Difficultés rencontrées</w:t>
      </w:r>
    </w:p>
    <w:p>
      <w:pPr>
        <w:pStyle w:val="FirstParagraph"/>
      </w:pPr>
      <w:r>
        <w:t xml:space="preserve">Le tableau 4.3 reprend les principaux problèmes rencontrés et la solution retenue pour chacun.</w:t>
      </w:r>
    </w:p>
    <w:bookmarkStart w:id="171" w:name="tab:difficultes"/>
    <w:p>
      <w:pPr>
        <w:pStyle w:val="TableCaption"/>
      </w:pPr>
      <w:r>
        <w:rPr>
          <w:bCs/>
          <w:b/>
        </w:rPr>
        <w:t xml:space="preserve">Tableau 4.3</w:t>
      </w:r>
      <w:r>
        <w:t xml:space="preserve"> – Difficultés rencontrées et solutions retenues</w:t>
      </w:r>
    </w:p>
    <w:tbl>
      <w:tblPr>
        <w:tblStyle w:val="Table"/>
        <w:tblW w:type="pct" w:w="5000"/>
        <w:tblLook w:firstRow="1" w:lastRow="0" w:firstColumn="0" w:lastColumn="0" w:noHBand="0" w:noVBand="0" w:val="0020"/>
        <w:jc w:val="start"/>
        <w:tblCaption w:val="Tableau 4.3 – Difficultés rencontrées et solutions retenues"/>
      </w:tblPr>
      <w:tblGrid>
        <w:gridCol w:w="3647"/>
        <w:gridCol w:w="4272"/>
      </w:tblGrid>
      <w:tr>
        <w:trPr>
          <w:tblHeader w:val="true"/>
        </w:trPr>
        <w:tc>
          <w:tcPr/>
          <w:p>
            <w:pPr>
              <w:pStyle w:val="Compact"/>
              <w:jc w:val="left"/>
            </w:pPr>
            <w:r>
              <w:t xml:space="preserve">Problème</w:t>
            </w:r>
          </w:p>
        </w:tc>
        <w:tc>
          <w:tcPr/>
          <w:p>
            <w:pPr>
              <w:pStyle w:val="Compact"/>
              <w:jc w:val="left"/>
            </w:pPr>
            <w:r>
              <w:t xml:space="preserve">Solution</w:t>
            </w:r>
          </w:p>
        </w:tc>
      </w:tr>
      <w:tr>
        <w:tc>
          <w:tcPr/>
          <w:p>
            <w:pPr>
              <w:pStyle w:val="Compact"/>
              <w:jc w:val="left"/>
            </w:pPr>
            <w:r>
              <w:t xml:space="preserve">Modèles dbt en échec : noms de</w:t>
            </w:r>
            <w:r>
              <w:t xml:space="preserve"> </w:t>
            </w:r>
            <w:r>
              <w:t xml:space="preserve">tables introuvables</w:t>
            </w:r>
          </w:p>
        </w:tc>
        <w:tc>
          <w:tcPr/>
          <w:p>
            <w:pPr>
              <w:pStyle w:val="Compact"/>
              <w:jc w:val="left"/>
            </w:pPr>
            <w:r>
              <w:t xml:space="preserve">Sources dbt avec</w:t>
            </w:r>
            <w:r>
              <w:t xml:space="preserve"> </w:t>
            </w:r>
            <w:r>
              <w:rPr>
                <w:rStyle w:val="VerbatimChar"/>
              </w:rPr>
              <w:t xml:space="preserve">identifier</w:t>
            </w:r>
            <w:r>
              <w:t xml:space="preserve"> </w:t>
            </w:r>
            <w:r>
              <w:t xml:space="preserve">(noms</w:t>
            </w:r>
            <w:r>
              <w:t xml:space="preserve"> </w:t>
            </w:r>
            <w:r>
              <w:t xml:space="preserve">normalisés par DLT)</w:t>
            </w:r>
          </w:p>
        </w:tc>
      </w:tr>
      <w:tr>
        <w:tc>
          <w:tcPr/>
          <w:p>
            <w:pPr>
              <w:pStyle w:val="Compact"/>
              <w:jc w:val="left"/>
            </w:pPr>
            <w:r>
              <w:t xml:space="preserve">Étape dbt absente de Dagster</w:t>
            </w:r>
          </w:p>
        </w:tc>
        <w:tc>
          <w:tcPr/>
          <w:p>
            <w:pPr>
              <w:pStyle w:val="Compact"/>
              <w:jc w:val="left"/>
            </w:pPr>
            <w:r>
              <w:t xml:space="preserve">Fichier renommé de</w:t>
            </w:r>
            <w:r>
              <w:t xml:space="preserve"> </w:t>
            </w:r>
            <w:r>
              <w:rPr>
                <w:rStyle w:val="VerbatimChar"/>
              </w:rPr>
              <w:t xml:space="preserve">defs.yml</w:t>
            </w:r>
            <w:r>
              <w:t xml:space="preserve"> </w:t>
            </w:r>
            <w:r>
              <w:t xml:space="preserve">en</w:t>
            </w:r>
            <w:r>
              <w:t xml:space="preserve"> </w:t>
            </w:r>
            <w:r>
              <w:rPr>
                <w:rStyle w:val="VerbatimChar"/>
              </w:rPr>
              <w:t xml:space="preserve">defs.yaml</w:t>
            </w:r>
          </w:p>
        </w:tc>
      </w:tr>
      <w:tr>
        <w:tc>
          <w:tcPr/>
          <w:p>
            <w:pPr>
              <w:pStyle w:val="Compact"/>
              <w:jc w:val="left"/>
            </w:pPr>
            <w:r>
              <w:t xml:space="preserve">Dossier nommé</w:t>
            </w:r>
            <w:r>
              <w:t xml:space="preserve"> </w:t>
            </w:r>
            <w:r>
              <w:rPr>
                <w:rStyle w:val="VerbatimChar"/>
              </w:rPr>
              <w:t xml:space="preserve">$HOME</w:t>
            </w:r>
            <w:r>
              <w:t xml:space="preserve"> </w:t>
            </w:r>
            <w:r>
              <w:t xml:space="preserve">créé par</w:t>
            </w:r>
            <w:r>
              <w:t xml:space="preserve"> </w:t>
            </w:r>
            <w:r>
              <w:t xml:space="preserve">DuckDB</w:t>
            </w:r>
          </w:p>
        </w:tc>
        <w:tc>
          <w:tcPr/>
          <w:p>
            <w:pPr>
              <w:pStyle w:val="Compact"/>
              <w:jc w:val="left"/>
            </w:pPr>
            <w:r>
              <w:rPr>
                <w:rStyle w:val="VerbatimChar"/>
              </w:rPr>
              <w:t xml:space="preserve">expandvars</w:t>
            </w:r>
            <w:r>
              <w:t xml:space="preserve"> </w:t>
            </w:r>
            <w:r>
              <w:t xml:space="preserve">dans le code,</w:t>
            </w:r>
            <w:r>
              <w:t xml:space="preserve"> </w:t>
            </w:r>
            <w:r>
              <w:rPr>
                <w:rStyle w:val="VerbatimChar"/>
              </w:rPr>
              <w:t xml:space="preserve">replace</w:t>
            </w:r>
            <w:r>
              <w:t xml:space="preserve"> </w:t>
            </w:r>
            <w:r>
              <w:t xml:space="preserve">dans le profil dbt</w:t>
            </w:r>
          </w:p>
        </w:tc>
      </w:tr>
      <w:tr>
        <w:tc>
          <w:tcPr/>
          <w:p>
            <w:pPr>
              <w:pStyle w:val="Compact"/>
              <w:jc w:val="left"/>
            </w:pPr>
            <w:r>
              <w:rPr>
                <w:iCs/>
                <w:i/>
              </w:rPr>
              <w:t xml:space="preserve">Insufficient privileges</w:t>
            </w:r>
            <w:r>
              <w:t xml:space="preserve"> </w:t>
            </w:r>
            <w:r>
              <w:t xml:space="preserve">sur les</w:t>
            </w:r>
            <w:r>
              <w:t xml:space="preserve"> </w:t>
            </w:r>
            <w:r>
              <w:t xml:space="preserve">schémas Snowflake</w:t>
            </w:r>
          </w:p>
        </w:tc>
        <w:tc>
          <w:tcPr/>
          <w:p>
            <w:pPr>
              <w:pStyle w:val="Compact"/>
              <w:jc w:val="left"/>
            </w:pPr>
            <w:r>
              <w:t xml:space="preserve">Schémas créés par</w:t>
            </w:r>
            <w:r>
              <w:t xml:space="preserve"> </w:t>
            </w:r>
            <w:r>
              <w:rPr>
                <w:rStyle w:val="VerbatimChar"/>
              </w:rPr>
              <w:t xml:space="preserve">PFPB_ROLE</w:t>
            </w:r>
            <w:r>
              <w:t xml:space="preserve">, ou</w:t>
            </w:r>
            <w:r>
              <w:t xml:space="preserve"> </w:t>
            </w:r>
            <w:r>
              <w:t xml:space="preserve">propriété transférée</w:t>
            </w:r>
          </w:p>
        </w:tc>
      </w:tr>
      <w:tr>
        <w:tc>
          <w:tcPr/>
          <w:p>
            <w:pPr>
              <w:pStyle w:val="Compact"/>
              <w:jc w:val="left"/>
            </w:pPr>
            <w:r>
              <w:t xml:space="preserve">Avertissements DLT sur les</w:t>
            </w:r>
            <w:r>
              <w:t xml:space="preserve"> </w:t>
            </w:r>
            <w:r>
              <w:t xml:space="preserve">colonnes</w:t>
            </w:r>
            <w:r>
              <w:t xml:space="preserve"> </w:t>
            </w:r>
            <w:r>
              <w:rPr>
                <w:rStyle w:val="VerbatimChar"/>
              </w:rPr>
              <w:t xml:space="preserve">geography</w:t>
            </w:r>
          </w:p>
        </w:tc>
        <w:tc>
          <w:tcPr/>
          <w:p>
            <w:pPr>
              <w:pStyle w:val="Compact"/>
              <w:jc w:val="left"/>
            </w:pPr>
            <w:r>
              <w:t xml:space="preserve">Colonnes exclues de l’ingestion</w:t>
            </w:r>
          </w:p>
        </w:tc>
      </w:tr>
      <w:tr>
        <w:tc>
          <w:tcPr/>
          <w:p>
            <w:pPr>
              <w:pStyle w:val="Compact"/>
              <w:jc w:val="left"/>
            </w:pPr>
            <w:r>
              <w:t xml:space="preserve">Cortex</w:t>
            </w:r>
            <w:r>
              <w:t xml:space="preserve"> </w:t>
            </w:r>
            <w:r>
              <w:rPr>
                <w:rStyle w:val="VerbatimChar"/>
              </w:rPr>
              <w:t xml:space="preserve">COMPLETE</w:t>
            </w:r>
            <w:r>
              <w:t xml:space="preserve"> </w:t>
            </w:r>
            <w:r>
              <w:t xml:space="preserve">refusé sur le</w:t>
            </w:r>
            <w:r>
              <w:t xml:space="preserve"> </w:t>
            </w:r>
            <w:r>
              <w:t xml:space="preserve">compte d’essai</w:t>
            </w:r>
          </w:p>
        </w:tc>
        <w:tc>
          <w:tcPr/>
          <w:p>
            <w:pPr>
              <w:pStyle w:val="Compact"/>
              <w:jc w:val="left"/>
            </w:pPr>
            <w:r>
              <w:t xml:space="preserve">Repli automatique sur Ollama</w:t>
            </w:r>
          </w:p>
        </w:tc>
      </w:tr>
      <w:tr>
        <w:tc>
          <w:tcPr/>
          <w:p>
            <w:pPr>
              <w:pStyle w:val="Compact"/>
              <w:jc w:val="left"/>
            </w:pPr>
            <w:r>
              <w:t xml:space="preserve">Déconnexion à chaque rechargement</w:t>
            </w:r>
            <w:r>
              <w:t xml:space="preserve"> </w:t>
            </w:r>
            <w:r>
              <w:t xml:space="preserve">de la page</w:t>
            </w:r>
          </w:p>
        </w:tc>
        <w:tc>
          <w:tcPr/>
          <w:p>
            <w:pPr>
              <w:pStyle w:val="Compact"/>
              <w:jc w:val="left"/>
            </w:pPr>
            <w:r>
              <w:t xml:space="preserve">Jeton de session dans l’adresse, stocké</w:t>
            </w:r>
            <w:r>
              <w:t xml:space="preserve"> </w:t>
            </w:r>
            <w:r>
              <w:t xml:space="preserve">dans SQLite</w:t>
            </w:r>
          </w:p>
        </w:tc>
      </w:tr>
      <w:tr>
        <w:tc>
          <w:tcPr/>
          <w:p>
            <w:pPr>
              <w:pStyle w:val="Compact"/>
              <w:jc w:val="left"/>
            </w:pPr>
            <w:r>
              <w:t xml:space="preserve">Génération lente lors de la</w:t>
            </w:r>
            <w:r>
              <w:t xml:space="preserve"> </w:t>
            </w:r>
            <w:r>
              <w:t xml:space="preserve">première question</w:t>
            </w:r>
          </w:p>
        </w:tc>
        <w:tc>
          <w:tcPr/>
          <w:p>
            <w:pPr>
              <w:pStyle w:val="Compact"/>
              <w:jc w:val="left"/>
            </w:pPr>
            <w:r>
              <w:t xml:space="preserve">Préchargement du modèle, cache du SQL</w:t>
            </w:r>
            <w:r>
              <w:t xml:space="preserve"> </w:t>
            </w:r>
            <w:r>
              <w:t xml:space="preserve">généré</w:t>
            </w:r>
          </w:p>
        </w:tc>
      </w:tr>
    </w:tbl>
    <w:bookmarkEnd w:id="171"/>
    <w:bookmarkEnd w:id="172"/>
    <w:bookmarkStart w:id="173" w:name="limites"/>
    <w:p>
      <w:pPr>
        <w:pStyle w:val="Heading2"/>
      </w:pPr>
      <w:r>
        <w:rPr>
          <w:rStyle w:val="SectionNumber"/>
        </w:rPr>
        <w:t xml:space="preserve">4.6</w:t>
      </w:r>
      <w:r>
        <w:tab/>
      </w:r>
      <w:r>
        <w:t xml:space="preserve">Limites</w:t>
      </w:r>
    </w:p>
    <w:p>
      <w:pPr>
        <w:pStyle w:val="FirstParagraph"/>
      </w:pPr>
      <w:r>
        <w:t xml:space="preserve">La solution présente plusieurs limites, dont certaines tiennent aux conditions du projet.</w:t>
      </w:r>
    </w:p>
    <w:p>
      <w:pPr>
        <w:numPr>
          <w:ilvl w:val="0"/>
          <w:numId w:val="1008"/>
        </w:numPr>
        <w:pStyle w:val="Compact"/>
      </w:pPr>
      <w:r>
        <w:rPr>
          <w:bCs/>
          <w:b/>
        </w:rPr>
        <w:t xml:space="preserve">Cortex n’a pas pu être utilisé.</w:t>
      </w:r>
      <w:r>
        <w:t xml:space="preserve"> </w:t>
      </w:r>
      <w:r>
        <w:t xml:space="preserve">Le compte d’essai Snowflake ne donne pas accès à</w:t>
      </w:r>
      <w:r>
        <w:t xml:space="preserve"> </w:t>
      </w:r>
      <w:r>
        <w:rPr>
          <w:rStyle w:val="VerbatimChar"/>
        </w:rPr>
        <w:t xml:space="preserve">CORTEX.COMPLETE</w:t>
      </w:r>
      <w:r>
        <w:t xml:space="preserve">. Le code d’appel existe et le rôle dispose du droit</w:t>
      </w:r>
      <w:r>
        <w:t xml:space="preserve"> </w:t>
      </w:r>
      <w:r>
        <w:rPr>
          <w:rStyle w:val="VerbatimChar"/>
        </w:rPr>
        <w:t xml:space="preserve">CORTEX_USER</w:t>
      </w:r>
      <w:r>
        <w:t xml:space="preserve">, mais il n’a pas été testé sur un compte payant.</w:t>
      </w:r>
    </w:p>
    <w:p>
      <w:pPr>
        <w:numPr>
          <w:ilvl w:val="0"/>
          <w:numId w:val="1008"/>
        </w:numPr>
        <w:pStyle w:val="Compact"/>
      </w:pPr>
      <w:r>
        <w:rPr>
          <w:bCs/>
          <w:b/>
        </w:rPr>
        <w:t xml:space="preserve">La génération locale est lente.</w:t>
      </w:r>
      <w:r>
        <w:t xml:space="preserve"> </w:t>
      </w:r>
      <w:r>
        <w:t xml:space="preserve">Une trentaine de secondes par question reste acceptable pour une démonstration, pas pour un usage quotidien. Une carte graphique ou un modèle hébergé réduirait ce délai à quelques secondes.</w:t>
      </w:r>
    </w:p>
    <w:p>
      <w:pPr>
        <w:numPr>
          <w:ilvl w:val="0"/>
          <w:numId w:val="1008"/>
        </w:numPr>
        <w:pStyle w:val="Compact"/>
      </w:pPr>
      <w:r>
        <w:rPr>
          <w:bCs/>
          <w:b/>
        </w:rPr>
        <w:t xml:space="preserve">L’application utilise un rôle trop large.</w:t>
      </w:r>
      <w:r>
        <w:t xml:space="preserve"> </w:t>
      </w:r>
      <w:r>
        <w:t xml:space="preserve">Elle se connecte avec</w:t>
      </w:r>
      <w:r>
        <w:t xml:space="preserve"> </w:t>
      </w:r>
      <w:r>
        <w:rPr>
          <w:rStyle w:val="VerbatimChar"/>
        </w:rPr>
        <w:t xml:space="preserve">PFPB_ROLE</w:t>
      </w:r>
      <w:r>
        <w:t xml:space="preserve">, qui peut écrire dans les trois schémas. Le filtre</w:t>
      </w:r>
      <w:r>
        <w:t xml:space="preserve"> </w:t>
      </w:r>
      <w:r>
        <w:rPr>
          <w:rStyle w:val="VerbatimChar"/>
        </w:rPr>
        <w:t xml:space="preserve">clean_sql</w:t>
      </w:r>
      <w:r>
        <w:t xml:space="preserve"> </w:t>
      </w:r>
      <w:r>
        <w:t xml:space="preserve">bloque les requêtes d’écriture, mais une protection applicative ne vaut pas un droit refusé par la base. Un rôle dédié, limité à</w:t>
      </w:r>
      <w:r>
        <w:t xml:space="preserve"> </w:t>
      </w:r>
      <w:r>
        <w:rPr>
          <w:rStyle w:val="VerbatimChar"/>
        </w:rPr>
        <w:t xml:space="preserve">SELECT</w:t>
      </w:r>
      <w:r>
        <w:t xml:space="preserve"> </w:t>
      </w:r>
      <w:r>
        <w:t xml:space="preserve">sur</w:t>
      </w:r>
      <w:r>
        <w:t xml:space="preserve"> </w:t>
      </w:r>
      <w:r>
        <w:rPr>
          <w:rStyle w:val="VerbatimChar"/>
        </w:rPr>
        <w:t xml:space="preserve">GOLD</w:t>
      </w:r>
      <w:r>
        <w:t xml:space="preserve">, serait nécessaire en production.</w:t>
      </w:r>
    </w:p>
    <w:p>
      <w:pPr>
        <w:numPr>
          <w:ilvl w:val="0"/>
          <w:numId w:val="1008"/>
        </w:numPr>
        <w:pStyle w:val="Compact"/>
      </w:pPr>
      <w:r>
        <w:rPr>
          <w:bCs/>
          <w:b/>
        </w:rPr>
        <w:t xml:space="preserve">Le jeton de session apparaît dans l’adresse.</w:t>
      </w:r>
      <w:r>
        <w:t xml:space="preserve"> </w:t>
      </w:r>
      <w:r>
        <w:t xml:space="preserve">Il peut se retrouver dans l’historique du navigateur ou être partagé par erreur avec un lien. Un cookie sécurisé serait préférable, mais Streamlit ne permet pas d’en poser simplement.</w:t>
      </w:r>
    </w:p>
    <w:p>
      <w:pPr>
        <w:numPr>
          <w:ilvl w:val="0"/>
          <w:numId w:val="1008"/>
        </w:numPr>
        <w:pStyle w:val="Compact"/>
      </w:pPr>
      <w:r>
        <w:rPr>
          <w:bCs/>
          <w:b/>
        </w:rPr>
        <w:t xml:space="preserve">L’évaluation du Text-to-SQL est réduite</w:t>
      </w:r>
      <w:r>
        <w:t xml:space="preserve">, comme indiqué plus haut.</w:t>
      </w:r>
    </w:p>
    <w:p>
      <w:pPr>
        <w:numPr>
          <w:ilvl w:val="0"/>
          <w:numId w:val="1008"/>
        </w:numPr>
        <w:pStyle w:val="Compact"/>
      </w:pPr>
      <w:r>
        <w:rPr>
          <w:bCs/>
          <w:b/>
        </w:rPr>
        <w:t xml:space="preserve">Le modèle Gold ne garde pas l’historique des dimensions.</w:t>
      </w:r>
      <w:r>
        <w:t xml:space="preserve"> </w:t>
      </w:r>
      <w:r>
        <w:t xml:space="preserve">Si un client change de ville, l’ancienne valeur est écrasée. Une dimension à variation lente (</w:t>
      </w:r>
      <w:r>
        <w:rPr>
          <w:iCs/>
          <w:i/>
        </w:rPr>
        <w:t xml:space="preserve">snapshot</w:t>
      </w:r>
      <w:r>
        <w:t xml:space="preserve"> </w:t>
      </w:r>
      <w:r>
        <w:t xml:space="preserve">dbt) corrigerait ce point.</w:t>
      </w:r>
    </w:p>
    <w:bookmarkEnd w:id="173"/>
    <w:bookmarkEnd w:id="174"/>
    <w:bookmarkStart w:id="176" w:name="conclusion-générale"/>
    <w:p>
      <w:pPr>
        <w:pStyle w:val="Heading1"/>
      </w:pPr>
      <w:r>
        <w:t xml:space="preserve">Conclusion générale</w:t>
      </w:r>
    </w:p>
    <w:p>
      <w:pPr>
        <w:pStyle w:val="FirstParagraph"/>
      </w:pPr>
      <w:r>
        <w:t xml:space="preserve">Ce projet avait pour but de construire une plateforme de données complète, de la base transactionnelle jusqu’à une application interrogeable en français. La chaîne fonctionne de bout en bout sur Snowflake : DLT charge dix tables de</w:t>
      </w:r>
      <w:r>
        <w:t xml:space="preserve"> </w:t>
      </w:r>
      <w:r>
        <w:rPr>
          <w:iCs/>
          <w:i/>
        </w:rPr>
        <w:t xml:space="preserve">WideWorldImporters</w:t>
      </w:r>
      <w:r>
        <w:t xml:space="preserve"> </w:t>
      </w:r>
      <w:r>
        <w:t xml:space="preserve">dans la couche Bronze, dbt construit sept vues Silver et six tables Gold vérifiées par dix-huit tests, et Dagster enchaîne ces étapes en un peu plus de sept minutes, chaque nuit à 2 h. L’application WWI Insight répond aux trois questions de la consigne et à des questions libres, en contrôlant chaque requête avant de l’exécuter.</w:t>
      </w:r>
    </w:p>
    <w:p>
      <w:pPr>
        <w:pStyle w:val="BodyText"/>
      </w:pPr>
      <w:r>
        <w:t xml:space="preserve">Trois choix ont particulièrement compté. Le développement sur DuckDB a permis de mettre au point les modèles et l’application sans dépenser de crédits, puis de passer à Snowflake en changeant seulement des variables d’environnement. Le modèle en étoile à deux tables de faits a résolu la question du bénéfice, qui n’existe qu’à la facturation, et il a donné au modèle de langage un schéma simple à interroger. Enfin, la sélection automatique du moteur de génération a permis de contourner l’absence de Cortex sur le compte d’essai sans toucher au reste de l’architecture.</w:t>
      </w:r>
    </w:p>
    <w:p>
      <w:pPr>
        <w:pStyle w:val="BodyText"/>
      </w:pPr>
      <w:r>
        <w:t xml:space="preserve">Le projet nous a aussi appris que les difficultés se trouvent souvent entre les outils plutôt que dans chacun d’eux : noms de tables normalisés par DLT, extension de fichier ignorée par Dagster, propriété des schémas dans Snowflake, variables d’environnement non interprétées. Aucun de ces problèmes n’était complexe, mais chacun bloquait la chaîne entière.</w:t>
      </w:r>
    </w:p>
    <w:bookmarkStart w:id="175" w:name="perspectives"/>
    <w:p>
      <w:pPr>
        <w:pStyle w:val="Heading2"/>
      </w:pPr>
      <w:r>
        <w:t xml:space="preserve">Perspectives</w:t>
      </w:r>
    </w:p>
    <w:p>
      <w:pPr>
        <w:pStyle w:val="FirstParagraph"/>
      </w:pPr>
      <w:r>
        <w:t xml:space="preserve">Plusieurs suites sont envisageables :</w:t>
      </w:r>
    </w:p>
    <w:p>
      <w:pPr>
        <w:numPr>
          <w:ilvl w:val="0"/>
          <w:numId w:val="1009"/>
        </w:numPr>
        <w:pStyle w:val="Compact"/>
      </w:pPr>
      <w:r>
        <w:t xml:space="preserve">utiliser Cortex sur un compte Snowflake payant et comparer ses requêtes à celles d’Ollama ;</w:t>
      </w:r>
    </w:p>
    <w:p>
      <w:pPr>
        <w:numPr>
          <w:ilvl w:val="0"/>
          <w:numId w:val="1009"/>
        </w:numPr>
        <w:pStyle w:val="Compact"/>
      </w:pPr>
      <w:r>
        <w:t xml:space="preserve">constituer un jeu d’évaluation d’une cinquantaine de questions avec leur réponse attendue, pour mesurer la qualité du Text-to-SQL ;</w:t>
      </w:r>
    </w:p>
    <w:p>
      <w:pPr>
        <w:numPr>
          <w:ilvl w:val="0"/>
          <w:numId w:val="1009"/>
        </w:numPr>
        <w:pStyle w:val="Compact"/>
      </w:pPr>
      <w:r>
        <w:t xml:space="preserve">créer un rôle Snowflake en lecture seule sur</w:t>
      </w:r>
      <w:r>
        <w:t xml:space="preserve"> </w:t>
      </w:r>
      <w:r>
        <w:rPr>
          <w:rStyle w:val="VerbatimChar"/>
        </w:rPr>
        <w:t xml:space="preserve">GOLD</w:t>
      </w:r>
      <w:r>
        <w:t xml:space="preserve"> </w:t>
      </w:r>
      <w:r>
        <w:t xml:space="preserve">pour l’application ;</w:t>
      </w:r>
    </w:p>
    <w:p>
      <w:pPr>
        <w:numPr>
          <w:ilvl w:val="0"/>
          <w:numId w:val="1009"/>
        </w:numPr>
        <w:pStyle w:val="Compact"/>
      </w:pPr>
      <w:r>
        <w:t xml:space="preserve">historiser les dimensions clients et produits avec les</w:t>
      </w:r>
      <w:r>
        <w:t xml:space="preserve"> </w:t>
      </w:r>
      <w:r>
        <w:rPr>
          <w:iCs/>
          <w:i/>
        </w:rPr>
        <w:t xml:space="preserve">snapshots</w:t>
      </w:r>
      <w:r>
        <w:t xml:space="preserve"> </w:t>
      </w:r>
      <w:r>
        <w:t xml:space="preserve">de dbt ;</w:t>
      </w:r>
    </w:p>
    <w:p>
      <w:pPr>
        <w:numPr>
          <w:ilvl w:val="0"/>
          <w:numId w:val="1009"/>
        </w:numPr>
        <w:pStyle w:val="Compact"/>
      </w:pPr>
      <w:r>
        <w:t xml:space="preserve">étendre le modèle aux achats et aux stocks, présents dans la base source mais non chargés ;</w:t>
      </w:r>
    </w:p>
    <w:p>
      <w:pPr>
        <w:numPr>
          <w:ilvl w:val="0"/>
          <w:numId w:val="1009"/>
        </w:numPr>
        <w:pStyle w:val="Compact"/>
      </w:pPr>
      <w:r>
        <w:t xml:space="preserve">déployer l’application et Dagster sur un serveur, avec une authentification par cookie plutôt que par l’adresse.</w:t>
      </w:r>
    </w:p>
    <w:bookmarkEnd w:id="175"/>
    <w:bookmarkEnd w:id="176"/>
    <w:bookmarkStart w:id="184" w:name="annexes"/>
    <w:p>
      <w:pPr>
        <w:pStyle w:val="Heading1"/>
      </w:pPr>
      <w:r>
        <w:t xml:space="preserve">Annexes</w:t>
      </w:r>
    </w:p>
    <w:bookmarkStart w:id="177" w:name="a.-commandes-principales"/>
    <w:p>
      <w:pPr>
        <w:pStyle w:val="Heading2"/>
      </w:pPr>
      <w:r>
        <w:t xml:space="preserve">A. Commandes principales</w:t>
      </w:r>
    </w:p>
    <w:p>
      <w:pPr>
        <w:pStyle w:val="FirstParagraph"/>
      </w:pPr>
      <w:r>
        <w:t xml:space="preserve">Les commandes suivantes reconstruisent la plateforme à partir du dépôt. Elles supposent SQL Server accessible et le fichier</w:t>
      </w:r>
      <w:r>
        <w:t xml:space="preserve"> </w:t>
      </w:r>
      <w:r>
        <w:rPr>
          <w:rStyle w:val="VerbatimChar"/>
        </w:rPr>
        <w:t xml:space="preserve">.dlt/secrets.toml</w:t>
      </w:r>
      <w:r>
        <w:t xml:space="preserve"> </w:t>
      </w:r>
      <w:r>
        <w:t xml:space="preserve">renseigné.</w:t>
      </w:r>
    </w:p>
    <w:p>
      <w:pPr>
        <w:pStyle w:val="SourceCode"/>
      </w:pPr>
      <w:r>
        <w:rPr>
          <w:rStyle w:val="CommentTok"/>
        </w:rPr>
        <w:t xml:space="preserve"># Installation</w:t>
      </w:r>
      <w:r>
        <w:br/>
      </w:r>
      <w:r>
        <w:rPr>
          <w:rStyle w:val="ExtensionTok"/>
        </w:rPr>
        <w:t xml:space="preserve">uv</w:t>
      </w:r>
      <w:r>
        <w:rPr>
          <w:rStyle w:val="NormalTok"/>
        </w:rPr>
        <w:t xml:space="preserve"> sync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br/>
      </w:r>
      <w:r>
        <w:rPr>
          <w:rStyle w:val="CommentTok"/>
        </w:rPr>
        <w:t xml:space="preserve"># Développement local (DuckDB)</w:t>
      </w:r>
      <w:r>
        <w:br/>
      </w:r>
      <w:r>
        <w:rPr>
          <w:rStyle w:val="BuiltInTok"/>
        </w:rPr>
        <w:t xml:space="preserve">export</w:t>
      </w:r>
      <w:r>
        <w:rPr>
          <w:rStyle w:val="NormalTok"/>
        </w:rPr>
        <w:t xml:space="preserve"> </w:t>
      </w:r>
      <w:r>
        <w:rPr>
          <w:rStyle w:val="VariableTok"/>
        </w:rPr>
        <w:t xml:space="preserve">DUCKDB_PATH</w:t>
      </w:r>
      <w:r>
        <w:rPr>
          <w:rStyle w:val="OperatorTok"/>
        </w:rPr>
        <w:t xml:space="preserve">=</w:t>
      </w:r>
      <w:r>
        <w:rPr>
          <w:rStyle w:val="VariableTok"/>
        </w:rPr>
        <w:t xml:space="preserve">$PWD</w:t>
      </w:r>
      <w:r>
        <w:rPr>
          <w:rStyle w:val="NormalTok"/>
        </w:rPr>
        <w:t xml:space="preserve">/warehouse.duckdb</w:t>
      </w:r>
      <w:r>
        <w:br/>
      </w:r>
      <w:r>
        <w:rPr>
          <w:rStyle w:val="ExtensionTok"/>
        </w:rPr>
        <w:t xml:space="preserve">dg</w:t>
      </w:r>
      <w:r>
        <w:rPr>
          <w:rStyle w:val="NormalTok"/>
        </w:rPr>
        <w:t xml:space="preserve"> check defs                  </w:t>
      </w:r>
      <w:r>
        <w:rPr>
          <w:rStyle w:val="CommentTok"/>
        </w:rPr>
        <w:t xml:space="preserve"># valide la configuration Dagster</w:t>
      </w:r>
      <w:r>
        <w:br/>
      </w:r>
      <w:r>
        <w:rPr>
          <w:rStyle w:val="ExtensionTok"/>
        </w:rPr>
        <w:t xml:space="preserve">dg</w:t>
      </w:r>
      <w:r>
        <w:rPr>
          <w:rStyle w:val="NormalTok"/>
        </w:rPr>
        <w:t xml:space="preserve"> list defs                   </w:t>
      </w:r>
      <w:r>
        <w:rPr>
          <w:rStyle w:val="CommentTok"/>
        </w:rPr>
        <w:t xml:space="preserve"># liste les actifs, le job et la planification</w:t>
      </w:r>
      <w:r>
        <w:br/>
      </w:r>
      <w:r>
        <w:rPr>
          <w:rStyle w:val="ExtensionTok"/>
        </w:rPr>
        <w:t xml:space="preserve">dg</w:t>
      </w:r>
      <w:r>
        <w:rPr>
          <w:rStyle w:val="NormalTok"/>
        </w:rPr>
        <w:t xml:space="preserve"> dev                         </w:t>
      </w:r>
      <w:r>
        <w:rPr>
          <w:rStyle w:val="CommentTok"/>
        </w:rPr>
        <w:t xml:space="preserve"># interface Dagster : http://localhost:3000</w:t>
      </w:r>
      <w:r>
        <w:br/>
      </w:r>
      <w:r>
        <w:br/>
      </w:r>
      <w:r>
        <w:rPr>
          <w:rStyle w:val="CommentTok"/>
        </w:rPr>
        <w:t xml:space="preserve"># Production (Snowflake)</w:t>
      </w:r>
      <w:r>
        <w:br/>
      </w:r>
      <w:r>
        <w:rPr>
          <w:rStyle w:val="BuiltInTok"/>
        </w:rPr>
        <w:t xml:space="preserve">export</w:t>
      </w:r>
      <w:r>
        <w:rPr>
          <w:rStyle w:val="NormalTok"/>
        </w:rPr>
        <w:t xml:space="preserve"> </w:t>
      </w:r>
      <w:r>
        <w:rPr>
          <w:rStyle w:val="VariableTok"/>
        </w:rPr>
        <w:t xml:space="preserve">DLT_DESTINATION</w:t>
      </w:r>
      <w:r>
        <w:rPr>
          <w:rStyle w:val="OperatorTok"/>
        </w:rPr>
        <w:t xml:space="preserve">=</w:t>
      </w:r>
      <w:r>
        <w:rPr>
          <w:rStyle w:val="NormalTok"/>
        </w:rPr>
        <w:t xml:space="preserve">snowflake </w:t>
      </w:r>
      <w:r>
        <w:rPr>
          <w:rStyle w:val="VariableTok"/>
        </w:rPr>
        <w:t xml:space="preserve">DBT_TARGET</w:t>
      </w:r>
      <w:r>
        <w:rPr>
          <w:rStyle w:val="OperatorTok"/>
        </w:rPr>
        <w:t xml:space="preserve">=</w:t>
      </w:r>
      <w:r>
        <w:rPr>
          <w:rStyle w:val="NormalTok"/>
        </w:rPr>
        <w:t xml:space="preserve">prod</w:t>
      </w:r>
      <w:r>
        <w:br/>
      </w:r>
      <w:r>
        <w:rPr>
          <w:rStyle w:val="BuiltInTok"/>
        </w:rPr>
        <w:t xml:space="preserve">export</w:t>
      </w:r>
      <w:r>
        <w:rPr>
          <w:rStyle w:val="NormalTok"/>
        </w:rPr>
        <w:t xml:space="preserve"> </w:t>
      </w:r>
      <w:r>
        <w:rPr>
          <w:rStyle w:val="VariableTok"/>
        </w:rPr>
        <w:t xml:space="preserve">SF_ACCOUNT</w:t>
      </w:r>
      <w:r>
        <w:rPr>
          <w:rStyle w:val="OperatorTok"/>
        </w:rPr>
        <w:t xml:space="preserve">=&lt;</w:t>
      </w:r>
      <w:r>
        <w:rPr>
          <w:rStyle w:val="NormalTok"/>
        </w:rPr>
        <w:t xml:space="preserve">compte</w:t>
      </w:r>
      <w:r>
        <w:rPr>
          <w:rStyle w:val="OperatorTok"/>
        </w:rPr>
        <w:t xml:space="preserve">&gt;</w:t>
      </w:r>
      <w:r>
        <w:rPr>
          <w:rStyle w:val="NormalTok"/>
        </w:rPr>
        <w:t xml:space="preserve"> SF_USER=</w:t>
      </w:r>
      <w:r>
        <w:rPr>
          <w:rStyle w:val="OperatorTok"/>
        </w:rPr>
        <w:t xml:space="preserve">&lt;</w:t>
      </w:r>
      <w:r>
        <w:rPr>
          <w:rStyle w:val="NormalTok"/>
        </w:rPr>
        <w:t xml:space="preserve">utilisateur</w:t>
      </w:r>
      <w:r>
        <w:rPr>
          <w:rStyle w:val="OperatorTok"/>
        </w:rPr>
        <w:t xml:space="preserve">&gt;</w:t>
      </w:r>
      <w:r>
        <w:rPr>
          <w:rStyle w:val="NormalTok"/>
        </w:rPr>
        <w:t xml:space="preserve"> SF_PASSWORD=</w:t>
      </w:r>
      <w:r>
        <w:rPr>
          <w:rStyle w:val="StringTok"/>
        </w:rPr>
        <w:t xml:space="preserve">'&lt;mot_de_passe&gt;'</w:t>
      </w:r>
      <w:r>
        <w:br/>
      </w:r>
      <w:r>
        <w:rPr>
          <w:rStyle w:val="ExtensionTok"/>
        </w:rPr>
        <w:t xml:space="preserve">dg</w:t>
      </w:r>
      <w:r>
        <w:rPr>
          <w:rStyle w:val="NormalTok"/>
        </w:rPr>
        <w:t xml:space="preserve"> dev                         </w:t>
      </w:r>
      <w:r>
        <w:rPr>
          <w:rStyle w:val="CommentTok"/>
        </w:rPr>
        <w:t xml:space="preserve"># puis « Materialize all »</w:t>
      </w:r>
      <w:r>
        <w:br/>
      </w:r>
      <w:r>
        <w:br/>
      </w:r>
      <w:r>
        <w:rPr>
          <w:rStyle w:val="CommentTok"/>
        </w:rPr>
        <w:t xml:space="preserve"># Modèle local pour la génération du SQL</w:t>
      </w:r>
      <w:r>
        <w:br/>
      </w:r>
      <w:r>
        <w:rPr>
          <w:rStyle w:val="ExtensionTok"/>
        </w:rPr>
        <w:t xml:space="preserve">ollama</w:t>
      </w:r>
      <w:r>
        <w:rPr>
          <w:rStyle w:val="NormalTok"/>
        </w:rPr>
        <w:t xml:space="preserve"> pull qwen2.5-coder:7b</w:t>
      </w:r>
      <w:r>
        <w:br/>
      </w:r>
      <w:r>
        <w:br/>
      </w:r>
      <w:r>
        <w:rPr>
          <w:rStyle w:val="CommentTok"/>
        </w:rPr>
        <w:t xml:space="preserve"># Application</w:t>
      </w:r>
      <w:r>
        <w:br/>
      </w:r>
      <w:r>
        <w:rPr>
          <w:rStyle w:val="ExtensionTok"/>
        </w:rPr>
        <w:t xml:space="preserve">streamlit</w:t>
      </w:r>
      <w:r>
        <w:rPr>
          <w:rStyle w:val="NormalTok"/>
        </w:rPr>
        <w:t xml:space="preserve"> run presentation_app/app.py       </w:t>
      </w:r>
      <w:r>
        <w:rPr>
          <w:rStyle w:val="CommentTok"/>
        </w:rPr>
        <w:t xml:space="preserve"># http://localhost:8501</w:t>
      </w:r>
    </w:p>
    <w:bookmarkEnd w:id="177"/>
    <w:bookmarkStart w:id="178" w:name="b.-variables-denvironnement"/>
    <w:p>
      <w:pPr>
        <w:pStyle w:val="Heading2"/>
      </w:pPr>
      <w:r>
        <w:t xml:space="preserve">B. Variables d’environnement</w:t>
      </w:r>
    </w:p>
    <w:p>
      <w:pPr>
        <w:pStyle w:val="TableCaption"/>
      </w:pPr>
      <w:r>
        <w:rPr>
          <w:bCs/>
          <w:b/>
        </w:rPr>
        <w:t xml:space="preserve">Tableau 4.4</w:t>
      </w:r>
      <w:r>
        <w:t xml:space="preserve"> – </w:t>
      </w:r>
    </w:p>
    <w:tbl>
      <w:tblPr>
        <w:tblStyle w:val="Table"/>
        <w:tblW w:type="auto" w:w="0"/>
        <w:tblLook w:firstRow="1" w:lastRow="0" w:firstColumn="0" w:lastColumn="0" w:noHBand="0" w:noVBand="0" w:val="0020"/>
        <w:jc w:val="start"/>
        <w:tblCaption w:val="Tableau 4.4 – "/>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Valeur par défaut</w:t>
            </w:r>
          </w:p>
        </w:tc>
        <w:tc>
          <w:tcPr/>
          <w:p>
            <w:pPr>
              <w:pStyle w:val="Compact"/>
              <w:jc w:val="left"/>
            </w:pPr>
            <w:r>
              <w:t xml:space="preserve">Rôle</w:t>
            </w:r>
          </w:p>
        </w:tc>
      </w:tr>
      <w:tr>
        <w:tc>
          <w:tcPr/>
          <w:p>
            <w:pPr>
              <w:pStyle w:val="Compact"/>
              <w:jc w:val="left"/>
            </w:pPr>
            <w:r>
              <w:rPr>
                <w:rStyle w:val="VerbatimChar"/>
              </w:rPr>
              <w:t xml:space="preserve">DLT_DESTINATION</w:t>
            </w:r>
          </w:p>
        </w:tc>
        <w:tc>
          <w:tcPr/>
          <w:p>
            <w:pPr>
              <w:pStyle w:val="Compact"/>
              <w:jc w:val="left"/>
            </w:pPr>
            <w:r>
              <w:rPr>
                <w:rStyle w:val="VerbatimChar"/>
              </w:rPr>
              <w:t xml:space="preserve">duckdb</w:t>
            </w:r>
          </w:p>
        </w:tc>
        <w:tc>
          <w:tcPr/>
          <w:p>
            <w:pPr>
              <w:pStyle w:val="Compact"/>
              <w:jc w:val="left"/>
            </w:pPr>
            <w:r>
              <w:t xml:space="preserve">destination de l’ingestion</w:t>
            </w:r>
          </w:p>
        </w:tc>
      </w:tr>
      <w:tr>
        <w:tc>
          <w:tcPr/>
          <w:p>
            <w:pPr>
              <w:pStyle w:val="Compact"/>
              <w:jc w:val="left"/>
            </w:pPr>
            <w:r>
              <w:rPr>
                <w:rStyle w:val="VerbatimChar"/>
              </w:rPr>
              <w:t xml:space="preserve">DBT_TARGET</w:t>
            </w:r>
          </w:p>
        </w:tc>
        <w:tc>
          <w:tcPr/>
          <w:p>
            <w:pPr>
              <w:pStyle w:val="Compact"/>
              <w:jc w:val="left"/>
            </w:pPr>
            <w:r>
              <w:rPr>
                <w:rStyle w:val="VerbatimChar"/>
              </w:rPr>
              <w:t xml:space="preserve">dev</w:t>
            </w:r>
          </w:p>
        </w:tc>
        <w:tc>
          <w:tcPr/>
          <w:p>
            <w:pPr>
              <w:pStyle w:val="Compact"/>
              <w:jc w:val="left"/>
            </w:pPr>
            <w:r>
              <w:t xml:space="preserve">cible dbt (</w:t>
            </w:r>
            <w:r>
              <w:rPr>
                <w:rStyle w:val="VerbatimChar"/>
              </w:rPr>
              <w:t xml:space="preserve">dev</w:t>
            </w:r>
            <w:r>
              <w:t xml:space="preserve"> </w:t>
            </w:r>
            <w:r>
              <w:t xml:space="preserve">ou</w:t>
            </w:r>
            <w:r>
              <w:t xml:space="preserve"> </w:t>
            </w:r>
            <w:r>
              <w:rPr>
                <w:rStyle w:val="VerbatimChar"/>
              </w:rPr>
              <w:t xml:space="preserve">prod</w:t>
            </w:r>
            <w:r>
              <w:t xml:space="preserve">)</w:t>
            </w:r>
          </w:p>
        </w:tc>
      </w:tr>
      <w:tr>
        <w:tc>
          <w:tcPr/>
          <w:p>
            <w:pPr>
              <w:pStyle w:val="Compact"/>
              <w:jc w:val="left"/>
            </w:pPr>
            <w:r>
              <w:rPr>
                <w:rStyle w:val="VerbatimChar"/>
              </w:rPr>
              <w:t xml:space="preserve">DUCKDB_PATH</w:t>
            </w:r>
          </w:p>
        </w:tc>
        <w:tc>
          <w:tcPr/>
          <w:p>
            <w:pPr>
              <w:pStyle w:val="Compact"/>
              <w:jc w:val="left"/>
            </w:pPr>
            <w:r>
              <w:rPr>
                <w:rStyle w:val="VerbatimChar"/>
              </w:rPr>
              <w:t xml:space="preserve">warehouse.duckdb</w:t>
            </w:r>
          </w:p>
        </w:tc>
        <w:tc>
          <w:tcPr/>
          <w:p>
            <w:pPr>
              <w:pStyle w:val="Compact"/>
              <w:jc w:val="left"/>
            </w:pPr>
            <w:r>
              <w:t xml:space="preserve">fichier DuckDB local</w:t>
            </w:r>
          </w:p>
        </w:tc>
      </w:tr>
      <w:tr>
        <w:tc>
          <w:tcPr/>
          <w:p>
            <w:pPr>
              <w:pStyle w:val="Compact"/>
              <w:jc w:val="left"/>
            </w:pPr>
            <w:r>
              <w:rPr>
                <w:rStyle w:val="VerbatimChar"/>
              </w:rPr>
              <w:t xml:space="preserve">SF_ACCOUNT</w:t>
            </w:r>
          </w:p>
        </w:tc>
        <w:tc>
          <w:tcPr/>
          <w:p>
            <w:pPr>
              <w:pStyle w:val="Compact"/>
              <w:jc w:val="left"/>
            </w:pPr>
            <w:r>
              <w:t xml:space="preserve">aucune</w:t>
            </w:r>
          </w:p>
        </w:tc>
        <w:tc>
          <w:tcPr/>
          <w:p>
            <w:pPr>
              <w:pStyle w:val="Compact"/>
              <w:jc w:val="left"/>
            </w:pPr>
            <w:r>
              <w:t xml:space="preserve">identifiant du compte Snowflake</w:t>
            </w:r>
          </w:p>
        </w:tc>
      </w:tr>
      <w:tr>
        <w:tc>
          <w:tcPr/>
          <w:p>
            <w:pPr>
              <w:pStyle w:val="Compact"/>
              <w:jc w:val="left"/>
            </w:pPr>
            <w:r>
              <w:rPr>
                <w:rStyle w:val="VerbatimChar"/>
              </w:rPr>
              <w:t xml:space="preserve">SF_USER</w:t>
            </w:r>
          </w:p>
        </w:tc>
        <w:tc>
          <w:tcPr/>
          <w:p>
            <w:pPr>
              <w:pStyle w:val="Compact"/>
              <w:jc w:val="left"/>
            </w:pPr>
            <w:r>
              <w:t xml:space="preserve">aucune</w:t>
            </w:r>
          </w:p>
        </w:tc>
        <w:tc>
          <w:tcPr/>
          <w:p>
            <w:pPr>
              <w:pStyle w:val="Compact"/>
              <w:jc w:val="left"/>
            </w:pPr>
            <w:r>
              <w:t xml:space="preserve">utilisateur Snowflake</w:t>
            </w:r>
          </w:p>
        </w:tc>
      </w:tr>
      <w:tr>
        <w:tc>
          <w:tcPr/>
          <w:p>
            <w:pPr>
              <w:pStyle w:val="Compact"/>
              <w:jc w:val="left"/>
            </w:pPr>
            <w:r>
              <w:rPr>
                <w:rStyle w:val="VerbatimChar"/>
              </w:rPr>
              <w:t xml:space="preserve">SF_PASSWORD</w:t>
            </w:r>
          </w:p>
        </w:tc>
        <w:tc>
          <w:tcPr/>
          <w:p>
            <w:pPr>
              <w:pStyle w:val="Compact"/>
              <w:jc w:val="left"/>
            </w:pPr>
            <w:r>
              <w:t xml:space="preserve">aucune</w:t>
            </w:r>
          </w:p>
        </w:tc>
        <w:tc>
          <w:tcPr/>
          <w:p>
            <w:pPr>
              <w:pStyle w:val="Compact"/>
              <w:jc w:val="left"/>
            </w:pPr>
            <w:r>
              <w:t xml:space="preserve">mot de passe Snowflake</w:t>
            </w:r>
          </w:p>
        </w:tc>
      </w:tr>
      <w:tr>
        <w:tc>
          <w:tcPr/>
          <w:p>
            <w:pPr>
              <w:pStyle w:val="Compact"/>
              <w:jc w:val="left"/>
            </w:pPr>
            <w:r>
              <w:rPr>
                <w:rStyle w:val="VerbatimChar"/>
              </w:rPr>
              <w:t xml:space="preserve">SF_ROLE</w:t>
            </w:r>
          </w:p>
        </w:tc>
        <w:tc>
          <w:tcPr/>
          <w:p>
            <w:pPr>
              <w:pStyle w:val="Compact"/>
              <w:jc w:val="left"/>
            </w:pPr>
            <w:r>
              <w:rPr>
                <w:rStyle w:val="VerbatimChar"/>
              </w:rPr>
              <w:t xml:space="preserve">PFPB_ROLE</w:t>
            </w:r>
          </w:p>
        </w:tc>
        <w:tc>
          <w:tcPr/>
          <w:p>
            <w:pPr>
              <w:pStyle w:val="Compact"/>
              <w:jc w:val="left"/>
            </w:pPr>
            <w:r>
              <w:t xml:space="preserve">rôle utilisé par l’application</w:t>
            </w:r>
          </w:p>
        </w:tc>
      </w:tr>
      <w:tr>
        <w:tc>
          <w:tcPr/>
          <w:p>
            <w:pPr>
              <w:pStyle w:val="Compact"/>
              <w:jc w:val="left"/>
            </w:pPr>
            <w:r>
              <w:rPr>
                <w:rStyle w:val="VerbatimChar"/>
              </w:rPr>
              <w:t xml:space="preserve">SF_WAREHOUSE</w:t>
            </w:r>
          </w:p>
        </w:tc>
        <w:tc>
          <w:tcPr/>
          <w:p>
            <w:pPr>
              <w:pStyle w:val="Compact"/>
              <w:jc w:val="left"/>
            </w:pPr>
            <w:r>
              <w:rPr>
                <w:rStyle w:val="VerbatimChar"/>
              </w:rPr>
              <w:t xml:space="preserve">COMPUTE_WH</w:t>
            </w:r>
          </w:p>
        </w:tc>
        <w:tc>
          <w:tcPr/>
          <w:p>
            <w:pPr>
              <w:pStyle w:val="Compact"/>
              <w:jc w:val="left"/>
            </w:pPr>
            <w:r>
              <w:t xml:space="preserve">warehouse Snowflake</w:t>
            </w:r>
          </w:p>
        </w:tc>
      </w:tr>
      <w:tr>
        <w:tc>
          <w:tcPr/>
          <w:p>
            <w:pPr>
              <w:pStyle w:val="Compact"/>
              <w:jc w:val="left"/>
            </w:pPr>
            <w:r>
              <w:rPr>
                <w:rStyle w:val="VerbatimChar"/>
              </w:rPr>
              <w:t xml:space="preserve">SQL_GENERATOR</w:t>
            </w:r>
          </w:p>
        </w:tc>
        <w:tc>
          <w:tcPr/>
          <w:p>
            <w:pPr>
              <w:pStyle w:val="Compact"/>
              <w:jc w:val="left"/>
            </w:pPr>
            <w:r>
              <w:rPr>
                <w:rStyle w:val="VerbatimChar"/>
              </w:rPr>
              <w:t xml:space="preserve">auto</w:t>
            </w:r>
          </w:p>
        </w:tc>
        <w:tc>
          <w:tcPr/>
          <w:p>
            <w:pPr>
              <w:pStyle w:val="Compact"/>
              <w:jc w:val="left"/>
            </w:pPr>
            <w:r>
              <w:rPr>
                <w:rStyle w:val="VerbatimChar"/>
              </w:rPr>
              <w:t xml:space="preserve">auto</w:t>
            </w:r>
            <w:r>
              <w:t xml:space="preserve">,</w:t>
            </w:r>
            <w:r>
              <w:t xml:space="preserve"> </w:t>
            </w:r>
            <w:r>
              <w:rPr>
                <w:rStyle w:val="VerbatimChar"/>
              </w:rPr>
              <w:t xml:space="preserve">cortex</w:t>
            </w:r>
            <w:r>
              <w:t xml:space="preserve">,</w:t>
            </w:r>
            <w:r>
              <w:t xml:space="preserve"> </w:t>
            </w:r>
            <w:r>
              <w:rPr>
                <w:rStyle w:val="VerbatimChar"/>
              </w:rPr>
              <w:t xml:space="preserve">ollama</w:t>
            </w:r>
            <w:r>
              <w:t xml:space="preserve"> </w:t>
            </w:r>
            <w:r>
              <w:t xml:space="preserve">ou</w:t>
            </w:r>
            <w:r>
              <w:t xml:space="preserve"> </w:t>
            </w:r>
            <w:r>
              <w:rPr>
                <w:rStyle w:val="VerbatimChar"/>
              </w:rPr>
              <w:t xml:space="preserve">none</w:t>
            </w:r>
          </w:p>
        </w:tc>
      </w:tr>
      <w:tr>
        <w:tc>
          <w:tcPr/>
          <w:p>
            <w:pPr>
              <w:pStyle w:val="Compact"/>
              <w:jc w:val="left"/>
            </w:pPr>
            <w:r>
              <w:rPr>
                <w:rStyle w:val="VerbatimChar"/>
              </w:rPr>
              <w:t xml:space="preserve">CORTEX_MODEL</w:t>
            </w:r>
          </w:p>
        </w:tc>
        <w:tc>
          <w:tcPr/>
          <w:p>
            <w:pPr>
              <w:pStyle w:val="Compact"/>
              <w:jc w:val="left"/>
            </w:pPr>
            <w:r>
              <w:rPr>
                <w:rStyle w:val="VerbatimChar"/>
              </w:rPr>
              <w:t xml:space="preserve">mistral-large2</w:t>
            </w:r>
          </w:p>
        </w:tc>
        <w:tc>
          <w:tcPr/>
          <w:p>
            <w:pPr>
              <w:pStyle w:val="Compact"/>
              <w:jc w:val="left"/>
            </w:pPr>
            <w:r>
              <w:t xml:space="preserve">modèle Cortex</w:t>
            </w:r>
          </w:p>
        </w:tc>
      </w:tr>
      <w:tr>
        <w:tc>
          <w:tcPr/>
          <w:p>
            <w:pPr>
              <w:pStyle w:val="Compact"/>
              <w:jc w:val="left"/>
            </w:pPr>
            <w:r>
              <w:rPr>
                <w:rStyle w:val="VerbatimChar"/>
              </w:rPr>
              <w:t xml:space="preserve">OLLAMA_MODEL</w:t>
            </w:r>
          </w:p>
        </w:tc>
        <w:tc>
          <w:tcPr/>
          <w:p>
            <w:pPr>
              <w:pStyle w:val="Compact"/>
              <w:jc w:val="left"/>
            </w:pPr>
            <w:r>
              <w:rPr>
                <w:rStyle w:val="VerbatimChar"/>
              </w:rPr>
              <w:t xml:space="preserve">qwen2.5-coder:7b</w:t>
            </w:r>
          </w:p>
        </w:tc>
        <w:tc>
          <w:tcPr/>
          <w:p>
            <w:pPr>
              <w:pStyle w:val="Compact"/>
              <w:jc w:val="left"/>
            </w:pPr>
            <w:r>
              <w:t xml:space="preserve">modèle Ollama</w:t>
            </w:r>
          </w:p>
        </w:tc>
      </w:tr>
      <w:tr>
        <w:tc>
          <w:tcPr/>
          <w:p>
            <w:pPr>
              <w:pStyle w:val="Compact"/>
              <w:jc w:val="left"/>
            </w:pPr>
            <w:r>
              <w:rPr>
                <w:rStyle w:val="VerbatimChar"/>
              </w:rPr>
              <w:t xml:space="preserve">OLLAMA_URL</w:t>
            </w:r>
          </w:p>
        </w:tc>
        <w:tc>
          <w:tcPr/>
          <w:p>
            <w:pPr>
              <w:pStyle w:val="Compact"/>
              <w:jc w:val="left"/>
            </w:pPr>
            <w:r>
              <w:rPr>
                <w:rStyle w:val="VerbatimChar"/>
              </w:rPr>
              <w:t xml:space="preserve">http://localhost:11434</w:t>
            </w:r>
          </w:p>
        </w:tc>
        <w:tc>
          <w:tcPr/>
          <w:p>
            <w:pPr>
              <w:pStyle w:val="Compact"/>
              <w:jc w:val="left"/>
            </w:pPr>
            <w:r>
              <w:t xml:space="preserve">adresse du serveur Ollama</w:t>
            </w:r>
          </w:p>
        </w:tc>
      </w:tr>
    </w:tbl>
    <w:bookmarkEnd w:id="178"/>
    <w:bookmarkStart w:id="179" w:name="Xfc5666eb19bdab05b3a0b55801a5a4e14b0807b"/>
    <w:p>
      <w:pPr>
        <w:pStyle w:val="Heading2"/>
      </w:pPr>
      <w:r>
        <w:t xml:space="preserve">C. Exécution d’une question dans l’application</w:t>
      </w:r>
    </w:p>
    <w:p>
      <w:pPr>
        <w:pStyle w:val="FirstParagraph"/>
      </w:pPr>
      <w:r>
        <w:t xml:space="preserve">La fonction</w:t>
      </w:r>
      <w:r>
        <w:t xml:space="preserve"> </w:t>
      </w:r>
      <w:r>
        <w:rPr>
          <w:rStyle w:val="VerbatimChar"/>
        </w:rPr>
        <w:t xml:space="preserve">_ask</w:t>
      </w:r>
      <w:r>
        <w:t xml:space="preserve"> </w:t>
      </w:r>
      <w:r>
        <w:t xml:space="preserve">du fichier</w:t>
      </w:r>
      <w:r>
        <w:t xml:space="preserve"> </w:t>
      </w:r>
      <w:r>
        <w:rPr>
          <w:rStyle w:val="VerbatimChar"/>
        </w:rPr>
        <w:t xml:space="preserve">presentation_app/views/workspace.py</w:t>
      </w:r>
      <w:r>
        <w:t xml:space="preserve"> </w:t>
      </w:r>
      <w:r>
        <w:t xml:space="preserve">enchaîne les étapes décrites au chapitre 3.</w:t>
      </w:r>
    </w:p>
    <w:p>
      <w:pPr>
        <w:pStyle w:val="SourceCode"/>
      </w:pPr>
      <w:r>
        <w:rPr>
          <w:rStyle w:val="KeywordTok"/>
        </w:rPr>
        <w:t xml:space="preserve">def</w:t>
      </w:r>
      <w:r>
        <w:rPr>
          <w:rStyle w:val="NormalTok"/>
        </w:rPr>
        <w:t xml:space="preserve"> _ask(user: </w:t>
      </w:r>
      <w:r>
        <w:rPr>
          <w:rStyle w:val="BuiltInTok"/>
        </w:rPr>
        <w:t xml:space="preserve">dict</w:t>
      </w:r>
      <w:r>
        <w:rPr>
          <w:rStyle w:val="NormalTok"/>
        </w:rPr>
        <w:t xml:space="preserve">, folder_id: </w:t>
      </w:r>
      <w:r>
        <w:rPr>
          <w:rStyle w:val="BuiltInTok"/>
        </w:rPr>
        <w:t xml:space="preserve">int</w:t>
      </w:r>
      <w:r>
        <w:rPr>
          <w:rStyle w:val="NormalTok"/>
        </w:rPr>
        <w:t xml:space="preserve">, question: </w:t>
      </w:r>
      <w:r>
        <w:rPr>
          <w:rStyle w:val="BuiltInTok"/>
        </w:rPr>
        <w:t xml:space="preserve">str</w:t>
      </w:r>
      <w:r>
        <w:rPr>
          <w:rStyle w:val="NormalTok"/>
        </w:rPr>
        <w:t xml:space="preserve">, sql: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st.html(</w:t>
      </w:r>
      <w:r>
        <w:rPr>
          <w:rStyle w:val="SpecialStringTok"/>
        </w:rPr>
        <w:t xml:space="preserve">f'&lt;div class="wwi-question"&gt;&lt;div&gt;</w:t>
      </w:r>
      <w:r>
        <w:rPr>
          <w:rStyle w:val="SpecialCharTok"/>
        </w:rPr>
        <w:t xml:space="preserve">{</w:t>
      </w:r>
      <w:r>
        <w:rPr>
          <w:rStyle w:val="NormalTok"/>
        </w:rPr>
        <w:t xml:space="preserve">html</w:t>
      </w:r>
      <w:r>
        <w:rPr>
          <w:rStyle w:val="SpecialCharTok"/>
        </w:rPr>
        <w:t xml:space="preserve">.</w:t>
      </w:r>
      <w:r>
        <w:rPr>
          <w:rStyle w:val="NormalTok"/>
        </w:rPr>
        <w:t xml:space="preserve">escape(question)</w:t>
      </w:r>
      <w:r>
        <w:rPr>
          <w:rStyle w:val="SpecialCharTok"/>
        </w:rPr>
        <w:t xml:space="preserve">}</w:t>
      </w:r>
      <w:r>
        <w:rPr>
          <w:rStyle w:val="SpecialStringTok"/>
        </w:rPr>
        <w:t xml:space="preserve">&lt;/div&gt;&lt;/div&gt;'</w:t>
      </w:r>
      <w:r>
        <w:rPr>
          <w:rStyle w:val="NormalTok"/>
        </w:rPr>
        <w:t xml:space="preserve">)</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engine </w:t>
      </w:r>
      <w:r>
        <w:rPr>
          <w:rStyle w:val="OperatorTok"/>
        </w:rPr>
        <w:t xml:space="preserve">=</w:t>
      </w:r>
      <w:r>
        <w:rPr>
          <w:rStyle w:val="NormalTok"/>
        </w:rPr>
        <w:t xml:space="preserve"> </w:t>
      </w:r>
      <w:r>
        <w:rPr>
          <w:rStyle w:val="StringTok"/>
        </w:rPr>
        <w:t xml:space="preserve">"manuel"</w:t>
      </w:r>
      <w:r>
        <w:rPr>
          <w:rStyle w:val="NormalTok"/>
        </w:rPr>
        <w:t xml:space="preserve"> </w:t>
      </w:r>
      <w:r>
        <w:rPr>
          <w:rStyle w:val="ControlFlowTok"/>
        </w:rPr>
        <w:t xml:space="preserve">if</w:t>
      </w:r>
      <w:r>
        <w:rPr>
          <w:rStyle w:val="NormalTok"/>
        </w:rPr>
        <w:t xml:space="preserve"> sql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"Génération du SQL et exécution sur la couche Gold…"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sql:</w:t>
      </w:r>
      <w:r>
        <w:br/>
      </w:r>
      <w:r>
        <w:rPr>
          <w:rStyle w:val="NormalTok"/>
        </w:rPr>
        <w:t xml:space="preserve">                sql, engine </w:t>
      </w:r>
      <w:r>
        <w:rPr>
          <w:rStyle w:val="OperatorTok"/>
        </w:rPr>
        <w:t xml:space="preserve">=</w:t>
      </w:r>
      <w:r>
        <w:rPr>
          <w:rStyle w:val="NormalTok"/>
        </w:rPr>
        <w:t xml:space="preserve"> warehouse.generate_sql(question)</w:t>
      </w:r>
      <w:r>
        <w:br/>
      </w:r>
      <w:r>
        <w:rPr>
          <w:rStyle w:val="NormalTok"/>
        </w:rPr>
        <w:t xml:space="preserve">            sql </w:t>
      </w:r>
      <w:r>
        <w:rPr>
          <w:rStyle w:val="OperatorTok"/>
        </w:rPr>
        <w:t xml:space="preserve">=</w:t>
      </w:r>
      <w:r>
        <w:rPr>
          <w:rStyle w:val="NormalTok"/>
        </w:rPr>
        <w:t xml:space="preserve"> warehouse.clean_sql(sql)</w:t>
      </w:r>
      <w:r>
        <w:br/>
      </w:r>
      <w:r>
        <w:rPr>
          <w:rStyle w:val="NormalTok"/>
        </w:rPr>
        <w:t xml:space="preserve">            df </w:t>
      </w:r>
      <w:r>
        <w:rPr>
          <w:rStyle w:val="OperatorTok"/>
        </w:rPr>
        <w:t xml:space="preserve">=</w:t>
      </w:r>
      <w:r>
        <w:rPr>
          <w:rStyle w:val="NormalTok"/>
        </w:rPr>
        <w:t xml:space="preserve"> warehouse.run_sql(sql)</w:t>
      </w:r>
      <w:r>
        <w:br/>
      </w:r>
      <w:r>
        <w:rPr>
          <w:rStyle w:val="NormalTok"/>
        </w:rPr>
        <w:t xml:space="preserve">    </w:t>
      </w:r>
      <w:r>
        <w:rPr>
          <w:rStyle w:val="ControlFlowTok"/>
        </w:rPr>
        <w:t xml:space="preserve">except</w:t>
      </w:r>
      <w:r>
        <w:rPr>
          <w:rStyle w:val="NormalTok"/>
        </w:rPr>
        <w:t xml:space="preserve"> warehouse.QueryError </w:t>
      </w:r>
      <w:r>
        <w:rPr>
          <w:rStyle w:val="ImportTok"/>
        </w:rPr>
        <w:t xml:space="preserve">as</w:t>
      </w:r>
      <w:r>
        <w:rPr>
          <w:rStyle w:val="NormalTok"/>
        </w:rPr>
        <w:t xml:space="preserve"> exc:</w:t>
      </w:r>
      <w:r>
        <w:br/>
      </w:r>
      <w:r>
        <w:rPr>
          <w:rStyle w:val="NormalTok"/>
        </w:rPr>
        <w:t xml:space="preserve">        st.session_state.last_error </w:t>
      </w:r>
      <w:r>
        <w:rPr>
          <w:rStyle w:val="OperatorTok"/>
        </w:rPr>
        <w:t xml:space="preserve">=</w:t>
      </w:r>
      <w:r>
        <w:rPr>
          <w:rStyle w:val="NormalTok"/>
        </w:rPr>
        <w:t xml:space="preserve"> (question, </w:t>
      </w:r>
      <w:r>
        <w:rPr>
          <w:rStyle w:val="BuiltInTok"/>
        </w:rPr>
        <w:t xml:space="preserve">str</w:t>
      </w:r>
      <w:r>
        <w:rPr>
          <w:rStyle w:val="NormalTok"/>
        </w:rPr>
        <w:t xml:space="preserve">(exc), sql)</w:t>
      </w:r>
      <w:r>
        <w:br/>
      </w:r>
      <w:r>
        <w:rPr>
          <w:rStyle w:val="NormalTok"/>
        </w:rPr>
        <w:t xml:space="preserve">        st.rerun()</w:t>
      </w:r>
      <w:r>
        <w:br/>
      </w:r>
      <w:r>
        <w:rPr>
          <w:rStyle w:val="NormalTok"/>
        </w:rPr>
        <w:t xml:space="preserve">    st.session_state.pop(</w:t>
      </w:r>
      <w:r>
        <w:rPr>
          <w:rStyle w:val="StringTok"/>
        </w:rPr>
        <w:t xml:space="preserve">"last_error"</w:t>
      </w:r>
      <w:r>
        <w:rPr>
          <w:rStyle w:val="NormalTok"/>
        </w:rPr>
        <w:t xml:space="preserve">, </w:t>
      </w:r>
      <w:r>
        <w:rPr>
          <w:rStyle w:val="VariableTok"/>
        </w:rPr>
        <w:t xml:space="preserve">None</w:t>
      </w:r>
      <w:r>
        <w:rPr>
          <w:rStyle w:val="NormalTok"/>
        </w:rPr>
        <w:t xml:space="preserve">)</w:t>
      </w:r>
      <w:r>
        <w:br/>
      </w:r>
      <w:r>
        <w:rPr>
          <w:rStyle w:val="NormalTok"/>
        </w:rPr>
        <w:t xml:space="preserve">    users_db.add_analysis(user[</w:t>
      </w:r>
      <w:r>
        <w:rPr>
          <w:rStyle w:val="StringTok"/>
        </w:rPr>
        <w:t xml:space="preserve">"id"</w:t>
      </w:r>
      <w:r>
        <w:rPr>
          <w:rStyle w:val="NormalTok"/>
        </w:rPr>
        <w:t xml:space="preserve">], folder_id, question, sql,</w:t>
      </w:r>
      <w:r>
        <w:br/>
      </w:r>
      <w:r>
        <w:rPr>
          <w:rStyle w:val="NormalTok"/>
        </w:rPr>
        <w:t xml:space="preserve">                          df.to_json(orient</w:t>
      </w:r>
      <w:r>
        <w:rPr>
          <w:rStyle w:val="OperatorTok"/>
        </w:rPr>
        <w:t xml:space="preserve">=</w:t>
      </w:r>
      <w:r>
        <w:rPr>
          <w:rStyle w:val="StringTok"/>
        </w:rPr>
        <w:t xml:space="preserve">"split"</w:t>
      </w:r>
      <w:r>
        <w:rPr>
          <w:rStyle w:val="NormalTok"/>
        </w:rPr>
        <w:t xml:space="preserve">, date_format</w:t>
      </w:r>
      <w:r>
        <w:rPr>
          <w:rStyle w:val="OperatorTok"/>
        </w:rPr>
        <w:t xml:space="preserve">=</w:t>
      </w:r>
      <w:r>
        <w:rPr>
          <w:rStyle w:val="StringTok"/>
        </w:rPr>
        <w:t xml:space="preserve">"iso"</w:t>
      </w:r>
      <w:r>
        <w:rPr>
          <w:rStyle w:val="NormalTok"/>
        </w:rPr>
        <w:t xml:space="preserve">, index</w:t>
      </w:r>
      <w:r>
        <w:rPr>
          <w:rStyle w:val="OperatorTok"/>
        </w:rPr>
        <w:t xml:space="preserve">=</w:t>
      </w:r>
      <w:r>
        <w:rPr>
          <w:rStyle w:val="VariableTok"/>
        </w:rPr>
        <w:t xml:space="preserve">False</w:t>
      </w:r>
      <w:r>
        <w:rPr>
          <w:rStyle w:val="NormalTok"/>
        </w:rPr>
        <w:t xml:space="preserve">), </w:t>
      </w:r>
      <w:r>
        <w:rPr>
          <w:rStyle w:val="BuiltInTok"/>
        </w:rPr>
        <w:t xml:space="preserve">len</w:t>
      </w:r>
      <w:r>
        <w:rPr>
          <w:rStyle w:val="NormalTok"/>
        </w:rPr>
        <w:t xml:space="preserve">(df),</w:t>
      </w:r>
      <w:r>
        <w:br/>
      </w:r>
      <w:r>
        <w:rPr>
          <w:rStyle w:val="NormalTok"/>
        </w:rPr>
        <w:t xml:space="preserve">                          engine, </w:t>
      </w:r>
      <w:r>
        <w:rPr>
          <w:rStyle w:val="BuiltInTok"/>
        </w:rPr>
        <w:t xml:space="preserve">int</w:t>
      </w:r>
      <w:r>
        <w:rPr>
          <w:rStyle w:val="NormalTok"/>
        </w:rPr>
        <w:t xml:space="preserve">((time.perf_counter() </w:t>
      </w:r>
      <w:r>
        <w:rPr>
          <w:rStyle w:val="OperatorTok"/>
        </w:rPr>
        <w:t xml:space="preserve">-</w:t>
      </w:r>
      <w:r>
        <w:rPr>
          <w:rStyle w:val="NormalTok"/>
        </w:rPr>
        <w:t xml:space="preserve"> start)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st.rerun()</w:t>
      </w:r>
    </w:p>
    <w:p>
      <w:pPr>
        <w:pStyle w:val="FirstParagraph"/>
      </w:pPr>
      <w:r>
        <w:t xml:space="preserve">Une requête saisie directement par l’utilisateur est marquée</w:t>
      </w:r>
      <w:r>
        <w:t xml:space="preserve"> </w:t>
      </w:r>
      <w:r>
        <w:rPr>
          <w:rStyle w:val="VerbatimChar"/>
        </w:rPr>
        <w:t xml:space="preserve">manuel</w:t>
      </w:r>
      <w:r>
        <w:t xml:space="preserve"> </w:t>
      </w:r>
      <w:r>
        <w:t xml:space="preserve">et passe par le même contrôle</w:t>
      </w:r>
      <w:r>
        <w:t xml:space="preserve"> </w:t>
      </w:r>
      <w:r>
        <w:rPr>
          <w:rStyle w:val="VerbatimChar"/>
        </w:rPr>
        <w:t xml:space="preserve">clean_sql</w:t>
      </w:r>
      <w:r>
        <w:t xml:space="preserve"> </w:t>
      </w:r>
      <w:r>
        <w:t xml:space="preserve">que le SQL généré. Toute erreur, qu’elle vienne du modèle, du filtre ou de la base, est convertie en</w:t>
      </w:r>
      <w:r>
        <w:t xml:space="preserve"> </w:t>
      </w:r>
      <w:r>
        <w:rPr>
          <w:rStyle w:val="VerbatimChar"/>
        </w:rPr>
        <w:t xml:space="preserve">QueryError</w:t>
      </w:r>
      <w:r>
        <w:t xml:space="preserve"> </w:t>
      </w:r>
      <w:r>
        <w:t xml:space="preserve">et affichée sous la question. En cas de succès, le résultat est enregistré avec le moteur utilisé et la durée totale en millisecondes.</w:t>
      </w:r>
    </w:p>
    <w:bookmarkEnd w:id="179"/>
    <w:bookmarkStart w:id="183" w:name="d.-lancement-de-lapplication"/>
    <w:p>
      <w:pPr>
        <w:pStyle w:val="Heading2"/>
      </w:pPr>
      <w:r>
        <w:t xml:space="preserve">D. Lancement de l’application</w:t>
      </w:r>
    </w:p>
    <w:p>
      <w:pPr>
        <w:pStyle w:val="FirstParagraph"/>
      </w:pPr>
      <w:r>
        <w:t xml:space="preserve">La commande</w:t>
      </w:r>
      <w:r>
        <w:t xml:space="preserve"> </w:t>
      </w:r>
      <w:r>
        <w:rPr>
          <w:rStyle w:val="VerbatimChar"/>
        </w:rPr>
        <w:t xml:space="preserve">streamlit run presentation_app/app.py</w:t>
      </w:r>
      <w:r>
        <w:t xml:space="preserve"> </w:t>
      </w:r>
      <w:r>
        <w:t xml:space="preserve">démarre l’application sur le port 8501.</w:t>
      </w:r>
    </w:p>
    <w:p>
      <w:pPr>
        <w:pStyle w:val="BodyText"/>
      </w:pPr>
      <w:r>
        <w:drawing>
          <wp:inline>
            <wp:extent cx="4602480" cy="1308397"/>
            <wp:effectExtent b="0" l="0" r="0" t="0"/>
            <wp:docPr descr="" title="" id="181" name="Picture"/>
            <a:graphic>
              <a:graphicData uri="http://schemas.openxmlformats.org/drawingml/2006/picture">
                <pic:pic>
                  <pic:nvPicPr>
                    <pic:cNvPr descr="../../captures/Capture19.png" id="182" name="Picture"/>
                    <pic:cNvPicPr>
                      <a:picLocks noChangeArrowheads="1" noChangeAspect="1"/>
                    </pic:cNvPicPr>
                  </pic:nvPicPr>
                  <pic:blipFill>
                    <a:blip r:embed="rId180"/>
                    <a:stretch>
                      <a:fillRect/>
                    </a:stretch>
                  </pic:blipFill>
                  <pic:spPr bwMode="auto">
                    <a:xfrm>
                      <a:off x="0" y="0"/>
                      <a:ext cx="4602480" cy="1308397"/>
                    </a:xfrm>
                    <a:prstGeom prst="rect">
                      <a:avLst/>
                    </a:prstGeom>
                    <a:noFill/>
                    <a:ln w="9525">
                      <a:noFill/>
                      <a:headEnd/>
                      <a:tailEnd/>
                    </a:ln>
                  </pic:spPr>
                </pic:pic>
              </a:graphicData>
            </a:graphic>
          </wp:inline>
        </w:drawing>
      </w:r>
    </w:p>
    <w:bookmarkEnd w:id="183"/>
    <w:bookmarkEnd w:id="18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cs="Calibri" w:eastAsia="Calibri" w:hAnsi="Calibri"/>
      <w:color w:val="0F1B2D"/>
      <w:sz w:val="22"/>
    </w:rPr>
  </w:style>
  <w:style w:styleId="BodyText" w:type="paragraph">
    <w:name w:val="Body Text"/>
    <w:basedOn w:val="Normal"/>
    <w:link w:val="BodyTextChar"/>
    <w:pPr>
      <w:spacing w:after="120" w:before="180" w:line="276" w:lineRule="auto"/>
    </w:pPr>
    <w:qFormat/>
    <w:rPr>
      <w:rFonts w:ascii="Calibri" w:cs="Calibri" w:eastAsia="Calibri" w:hAnsi="Calibri"/>
      <w:color w:val="0F1B2D"/>
      <w:sz w:val="22"/>
    </w:rPr>
  </w:style>
  <w:style w:customStyle="1" w:styleId="FirstParagraph" w:type="paragraph">
    <w:name w:val="First Paragraph"/>
    <w:basedOn w:val="BodyText"/>
    <w:next w:val="BodyText"/>
    <w:qFormat/>
    <w:pPr>
      <w:spacing w:after="120" w:line="276" w:lineRule="auto"/>
    </w:pPr>
    <w:rPr>
      <w:rFonts w:ascii="Calibri" w:cs="Calibri" w:eastAsia="Calibri" w:hAnsi="Calibri"/>
      <w:color w:val="0F1B2D"/>
      <w:sz w:val="22"/>
    </w:rPr>
  </w:style>
  <w:style w:customStyle="1" w:styleId="Compact" w:type="paragraph">
    <w:name w:val="Compact"/>
    <w:basedOn w:val="BodyText"/>
    <w:qFormat/>
    <w:pPr>
      <w:spacing w:after="120" w:before="36" w:line="276" w:lineRule="auto"/>
    </w:pPr>
    <w:rPr>
      <w:rFonts w:ascii="Calibri" w:cs="Calibri" w:eastAsia="Calibri" w:hAnsi="Calibri"/>
      <w:color w:val="0F1B2D"/>
      <w:sz w:val="22"/>
    </w:rPr>
  </w:style>
  <w:style w:styleId="Title" w:type="paragraph">
    <w:name w:val="Title"/>
    <w:basedOn w:val="Normal"/>
    <w:next w:val="BodyText"/>
    <w:qFormat/>
    <w:pPr>
      <w:keepNext/>
      <w:keepLines/>
      <w:spacing w:after="240" w:before="480"/>
      <w:jc w:val="center"/>
    </w:pPr>
    <w:rPr>
      <w:rFonts w:ascii="Calibri" w:cs="Calibri" w:eastAsia="Calibri" w:hAnsi="Calibri"/>
      <w:b/>
      <w:bCs/>
      <w:i w:val="0"/>
      <w:color w:val="0F1B2D"/>
      <w:sz w:val="5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480"/>
      <w:outlineLvl w:val="0"/>
    </w:pPr>
    <w:rPr>
      <w:rFonts w:ascii="Calibri" w:cs="Calibri" w:eastAsia="Calibri" w:hAnsi="Calibri"/>
      <w:b/>
      <w:bCs/>
      <w:i w:val="0"/>
      <w:color w:val="0F1B2D"/>
      <w:sz w:val="44"/>
      <w:szCs w:val="32"/>
    </w:rPr>
  </w:style>
  <w:style w:styleId="Heading2" w:type="paragraph">
    <w:name w:val="Heading 2"/>
    <w:basedOn w:val="Normal"/>
    <w:next w:val="BodyText"/>
    <w:uiPriority w:val="9"/>
    <w:unhideWhenUsed/>
    <w:qFormat/>
    <w:pPr>
      <w:keepNext/>
      <w:keepLines/>
      <w:spacing w:after="0" w:before="360"/>
      <w:outlineLvl w:val="1"/>
    </w:pPr>
    <w:rPr>
      <w:rFonts w:ascii="Calibri" w:cs="Calibri" w:eastAsia="Calibri" w:hAnsi="Calibri"/>
      <w:b/>
      <w:bCs/>
      <w:i w:val="0"/>
      <w:color w:val="0B6E99"/>
      <w:sz w:val="30"/>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i w:val="0"/>
      <w:color w:val="0F1B2D"/>
      <w:sz w:val="25"/>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b w:val="0"/>
      <w:i w:val="0"/>
      <w:color w:val="5A6678"/>
      <w:sz w:val="18"/>
    </w:rPr>
  </w:style>
  <w:style w:customStyle="1" w:styleId="TableCaption" w:type="paragraph">
    <w:name w:val="Table Caption"/>
    <w:basedOn w:val="Caption"/>
    <w:pPr>
      <w:keepNext/>
    </w:pPr>
    <w:rPr>
      <w:rFonts w:ascii="Calibri" w:cs="Calibri" w:eastAsia="Calibri" w:hAnsi="Calibri"/>
      <w:b w:val="0"/>
      <w:i w:val="0"/>
      <w:color w:val="5A6678"/>
      <w:sz w:val="18"/>
    </w:rPr>
  </w:style>
  <w:style w:customStyle="1" w:styleId="ImageCaption" w:type="paragraph">
    <w:name w:val="Image Caption"/>
    <w:basedOn w:val="Caption"/>
    <w:rPr>
      <w:rFonts w:ascii="Calibri" w:cs="Calibri" w:eastAsia="Calibri" w:hAnsi="Calibri"/>
      <w:b w:val="0"/>
      <w:i w:val="0"/>
      <w:color w:val="5A66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1B2D"/>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E99"/>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i w:val="0"/>
      <w:color w:val="0F1B2D"/>
      <w:sz w:val="4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2" Type="http://schemas.openxmlformats.org/officeDocument/2006/relationships/image" Target="media/rId92.png"/><Relationship Id="rId95" Type="http://schemas.openxmlformats.org/officeDocument/2006/relationships/image" Target="media/rId95.png"/><Relationship Id="rId98" Type="http://schemas.openxmlformats.org/officeDocument/2006/relationships/image" Target="media/rId98.png"/><Relationship Id="rId112" Type="http://schemas.openxmlformats.org/officeDocument/2006/relationships/image" Target="media/rId112.png"/><Relationship Id="rId104" Type="http://schemas.openxmlformats.org/officeDocument/2006/relationships/image" Target="media/rId104.png"/><Relationship Id="rId180" Type="http://schemas.openxmlformats.org/officeDocument/2006/relationships/image" Target="media/rId180.png"/><Relationship Id="rId48" Type="http://schemas.openxmlformats.org/officeDocument/2006/relationships/image" Target="media/rId48.png"/><Relationship Id="rId120" Type="http://schemas.openxmlformats.org/officeDocument/2006/relationships/image" Target="media/rId120.png"/><Relationship Id="rId144" Type="http://schemas.openxmlformats.org/officeDocument/2006/relationships/image" Target="media/rId144.png"/><Relationship Id="rId141" Type="http://schemas.openxmlformats.org/officeDocument/2006/relationships/image" Target="media/rId141.png"/><Relationship Id="rId51" Type="http://schemas.openxmlformats.org/officeDocument/2006/relationships/image" Target="media/rId51.png"/><Relationship Id="rId54" Type="http://schemas.openxmlformats.org/officeDocument/2006/relationships/image" Target="media/rId54.png"/><Relationship Id="rId62" Type="http://schemas.openxmlformats.org/officeDocument/2006/relationships/image" Target="media/rId62.png"/><Relationship Id="rId59" Type="http://schemas.openxmlformats.org/officeDocument/2006/relationships/image" Target="media/rId59.png"/><Relationship Id="rId83" Type="http://schemas.openxmlformats.org/officeDocument/2006/relationships/image" Target="media/rId83.png"/><Relationship Id="rId109" Type="http://schemas.openxmlformats.org/officeDocument/2006/relationships/image" Target="media/rId109.png"/><Relationship Id="rId138" Type="http://schemas.openxmlformats.org/officeDocument/2006/relationships/image" Target="media/rId138.png"/><Relationship Id="rId134" Type="http://schemas.openxmlformats.org/officeDocument/2006/relationships/image" Target="media/rId134.png"/><Relationship Id="rId154" Type="http://schemas.openxmlformats.org/officeDocument/2006/relationships/image" Target="media/rId154.png"/><Relationship Id="rId157" Type="http://schemas.openxmlformats.org/officeDocument/2006/relationships/image" Target="media/rId157.png"/><Relationship Id="rId161" Type="http://schemas.openxmlformats.org/officeDocument/2006/relationships/image" Target="media/rId161.png"/><Relationship Id="rId165" Type="http://schemas.openxmlformats.org/officeDocument/2006/relationships/image" Target="media/rId165.png"/><Relationship Id="rId129" Type="http://schemas.openxmlformats.org/officeDocument/2006/relationships/image" Target="media/rId129.png"/><Relationship Id="rId35" Type="http://schemas.openxmlformats.org/officeDocument/2006/relationships/image" Target="media/rId35.png"/><Relationship Id="rId89" Type="http://schemas.openxmlformats.org/officeDocument/2006/relationships/image" Target="media/rId89.png"/><Relationship Id="rId77" Type="http://schemas.openxmlformats.org/officeDocument/2006/relationships/image" Target="media/rId77.png"/><Relationship Id="rId41" Type="http://schemas.openxmlformats.org/officeDocument/2006/relationships/image" Target="media/rId41.png"/><Relationship Id="rId115" Type="http://schemas.openxmlformats.org/officeDocument/2006/relationships/image" Target="media/rId115.pn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2026-10-23T10:12:01Z</dcterms:created>
  <dcterms:modified xsi:type="dcterms:W3CDTF">2026-10-23T10:12:01Z</dcterms:modified>
</cp:coreProperties>
</file>

<file path=docProps/custom.xml><?xml version="1.0" encoding="utf-8"?>
<Properties xmlns="http://schemas.openxmlformats.org/officeDocument/2006/custom-properties" xmlns:vt="http://schemas.openxmlformats.org/officeDocument/2006/docPropsVTypes"/>
</file>