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отпусков</w:t>
      </w:r>
    </w:p>
    <w:p>
      <w:pPr>
        <w:pStyle w:val="Heading1"/>
      </w:pPr>
      <w:r>
        <w:t>Общие положения</w:t>
      </w:r>
    </w:p>
    <w:p>
      <w:r>
        <w:t>Отпуск предоставляется ежегодно продолжительностью 28 календарных дней.</w:t>
      </w:r>
    </w:p>
    <w:p>
      <w:r>
        <w:t>Заявление подаётся не менее чем за две недели до начала отпуска.</w:t>
      </w:r>
    </w:p>
    <w:p>
      <w:pPr>
        <w:pStyle w:val="Heading1"/>
      </w:pPr>
      <w:r>
        <w:t>Порядок согласования</w:t>
      </w:r>
    </w:p>
    <w:p>
      <w:r>
        <w:t>Согласование идёт через непосредственного руководителя, затем в отдел кадров.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