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Office Network Setup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Network Documentation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Cisco Packet Tracer Lab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June 8,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Network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describes the office network implemented in Cisco Packet Tracer. The network follows a hierarchical three-tier model comprising a core layer (CORESW), a distribution layer (DISTR), and access layer switches (SW1, SW2). Internet connectivity is provided through Router0 using NAT/PAT, with OSPF as the dynamic routing protocol between the router and the core switch.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design features: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Four VLANs: VLAN 10 (Data), VLAN 20 (Data), VLAN 99 (Management), VLAN 200 (Wireless)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Centralised DHCP and DNS servers on VLAN 99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Wireless infrastructure with WLC and two Lightweight Access Points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Internet access simulated via DSL Modem, Cloud, and ISP-side servers (Google, YouTube)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NAT overload on Router0 translates all 192.168.0.0/16 traffic to the WAN interface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Device Inventory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following table lists all network devices in the topology.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Version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IP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 (PT)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Internet Gateway / NAT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15.4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200.165.200.226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L3 Switch (3560)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Routing / Inter-VLAN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12.2(37)SE1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Switch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Distribution Switch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192.168.99.201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Switch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Switch 1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192.168.99.202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Switch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Switch 2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192.168.99.203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Switch0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L2 Switch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ISP-side Switch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15.0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VLAN Configuration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Four VLANs are configured across the network. Inter-VLAN routing is performed by the CORESW Layer 3 switch using Switched Virtual Interfaces (SVIs).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400"/>
        <w:gridCol w:w="320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 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Purpose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 (CORESW SVI)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/ Data VLAN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192.168.10.1 / 24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PCs: PC0, PC1, PC3; DHCP helper → 192.168.99.100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/ Data VLAN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192.168.20.1 / 24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PCs: PC2, PC4; DHCP helper → 192.168.99.100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 VLAN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 / 24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switch SVIs, DHCP Server, DNS Server, WLC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Wireless / Guest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192.168.200.1 / 24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Wireless clients via LAPs; DHCP helper → 192.168.99.100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IP Addressing Table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table below covers all assigned IP addresses across infrastructure devices and end hosts.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760"/>
        <w:gridCol w:w="16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Gi0/0/0 (inside)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200.165.200.226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Gi0/0/1 (outside)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10.0.0.100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255.0.0.0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Fa0/2 (routed)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200.165.200.225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255.255.255.252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200.165.200.226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Vlan10 SVI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Vlan20 SVI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192.168.20.1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Vlan99 SVI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Vlan200 SVI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Vlan99 SVI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192.168.99.201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Vlan99 SVI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192.168.99.202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Vlan99 SVI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192.168.99.203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192.168.10.100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192.168.10.101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192.168.20.103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192.168.20.100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192.168.10.104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192.168.10.1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DHCP Server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192.168.99.100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DNS Server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192.168.99.102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WLC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192.168.99.101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Server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10.0.0.120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255.0.0.0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YouTube Server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10.0.0.130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255.0.0.0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Port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Trunk Links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Trunk ports carry traffic for all VLANs between distribution and access switches.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Fa0/1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Trunk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Trunk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Fa0/3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Trunk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Access Ports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Access ports connect end devices to a specific VLAN on SW1 and SW2.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2160"/>
        <w:gridCol w:w="22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Device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DHCP PC6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 Weight AP0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Smartphone0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Fa0/6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 Weight AP2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Routing Configuration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OSPF process 1 in Area 0 is used for dynamic route exchange between Router0 and CORESW. Static default routes supplement OSPF for internet-bound traffic.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OSPF (Area 0)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192.168.0.0/16, 10.0.0.0/8, 200.165.200.0/24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 overload on Gi0/0/0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Static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192.168.0.0/16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Next-hop 200.165.200.225 (CORESW)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OSPF (Area 0)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192.168.0.0/16, 10.0.0.0/8, 200.165.200.0/24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 routing enabled; inter-VLAN routing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CORESW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Static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0.0.0.0/0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Next-hop 200.165.200.226 (Router0)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Network Services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/ IP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DHCP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192.168.99.100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Centralized DHCP server; CORESW SVIs use ip helper-address for VLANs 10, 20, 200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192.168.99.102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DNS server on VLAN 99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WLC (Wireless)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192.168.99.101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Manages Light Weight APs (LAP0, LAP2); wireless clients on VLAN 200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 (PAT)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Access-list 1 permits 192.168.0.0/16; overloaded on Gi0/0/0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OSPF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Router0 + CORESW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 1, Area 0; advertises all internal and ISP-link networks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STP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switches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PVST mode on all switches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VTY Access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DISTR, SW1, SW2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Password: cisco (plaintext — not encrypted)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Topology Description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network topology follows a hierarchical design as observed in the Packet Tracer screenshot: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Internet Side: Router0 connects to the ISP cloud via DSL Modem0 (Gi0/0/1 → 10.0.0.100). Servers simulating Google (10.0.0.120) and YouTube (10.0.0.130) reside on Switch0 connected to the ISP cloud.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WAN Link: Router0 Gi0/0/0 (200.165.200.226) connects to CORESW Fa0/2 (200.165.200.225) via a /30 point-to-point link.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Core Layer: CORESW acts as the Layer 3 routing hub. It hosts SVIs for all four VLANs and connects to DHCP Server, DNS Server, and WLC via VLAN 99 access ports (Fa0/3, Fa0/4, Fa0/5).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Distribution Layer: DISTR switch connects to CORESW (Fa0/1 trunk) and fans out to SW1 (Fa0/2 trunk) and SW2 (Fa0/3 trunk).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Access Layer: SW1 and SW2 connect end-user PCs and Lightweight Access Points. Wireless clients (Tablet PC0, Smartphone0) associate through the APs managed by the WLC.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Security Notes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VTY passwords on DISTR, SW1, and SW2 are set to 'cisco' in plaintext. In a production environment, service password-encryption and stronger credentials should be applied.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CORESW and Router0 VTY lines have no password configured — access control should be added.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NAT ACL (access-list 1) correctly limits translation to 192.168.0.0/16 internal addresses.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VLAN 1 is shut down on all switches — best practice followed.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2026-06-08T13:52:18.171Z</dcterms:created>
  <dcterms:modified xsi:type="dcterms:W3CDTF">2026-06-08T13:52:18.171Z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