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62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0"/>
        <w:gridCol w:w="7230"/>
        <w:tblGridChange w:id="0">
          <w:tblGrid>
            <w:gridCol w:w="3390"/>
            <w:gridCol w:w="7230"/>
          </w:tblGrid>
        </w:tblGridChange>
      </w:tblGrid>
      <w:tr>
        <w:trPr>
          <w:cantSplit w:val="0"/>
          <w:trHeight w:val="296.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2160"/>
                <w:tab w:val="left" w:leader="none" w:pos="2340"/>
              </w:tabs>
              <w:spacing w:after="0" w:line="240" w:lineRule="auto"/>
              <w:rPr>
                <w:rFonts w:ascii="DM Sans" w:cs="DM Sans" w:eastAsia="DM Sans" w:hAnsi="DM Sans"/>
                <w:color w:val="121010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32"/>
                <w:szCs w:val="32"/>
                <w:rtl w:val="0"/>
              </w:rPr>
              <w:t xml:space="preserve">Lum Pui Ling, Dawn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1980"/>
                <w:tab w:val="left" w:leader="none" w:pos="2160"/>
                <w:tab w:val="left" w:leader="none" w:pos="2340"/>
                <w:tab w:val="left" w:leader="none" w:pos="2430"/>
              </w:tabs>
              <w:spacing w:after="0" w:line="240" w:lineRule="auto"/>
              <w:rPr>
                <w:rFonts w:ascii="DM Sans" w:cs="DM Sans" w:eastAsia="DM Sans" w:hAnsi="DM Sans"/>
                <w:color w:val="121010"/>
                <w:sz w:val="16"/>
                <w:szCs w:val="16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6"/>
                <w:szCs w:val="16"/>
              </w:rPr>
              <w:drawing>
                <wp:inline distB="0" distT="0" distL="0" distR="0">
                  <wp:extent cx="190500" cy="190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DM Sans" w:cs="DM Sans" w:eastAsia="DM Sans" w:hAnsi="DM Sans"/>
                <w:color w:val="121010"/>
                <w:sz w:val="16"/>
                <w:szCs w:val="16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https://www.linkedin.com/in/dawnlum/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leader="none" w:pos="2160"/>
                <w:tab w:val="left" w:leader="none" w:pos="2340"/>
              </w:tabs>
              <w:spacing w:after="0" w:line="240" w:lineRule="auto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Citizenship : Singapore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leader="none" w:pos="1980"/>
                <w:tab w:val="left" w:leader="none" w:pos="2160"/>
                <w:tab w:val="left" w:leader="none" w:pos="2340"/>
                <w:tab w:val="left" w:leader="none" w:pos="2430"/>
              </w:tabs>
              <w:spacing w:after="0" w:line="240" w:lineRule="auto"/>
              <w:rPr>
                <w:rFonts w:ascii="DM Sans" w:cs="DM Sans" w:eastAsia="DM Sans" w:hAnsi="DM Sans"/>
                <w:color w:val="121010"/>
                <w:sz w:val="16"/>
                <w:szCs w:val="16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6"/>
                <w:szCs w:val="16"/>
              </w:rPr>
              <w:drawing>
                <wp:inline distB="0" distT="0" distL="0" distR="0">
                  <wp:extent cx="209550" cy="20955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DM Sans" w:cs="DM Sans" w:eastAsia="DM Sans" w:hAnsi="DM Sans"/>
                <w:color w:val="121010"/>
                <w:sz w:val="16"/>
                <w:szCs w:val="16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DM Sans" w:cs="DM Sans" w:eastAsia="DM Sans" w:hAnsi="DM Sans"/>
                  <w:color w:val="1155cc"/>
                  <w:sz w:val="16"/>
                  <w:szCs w:val="16"/>
                  <w:u w:val="single"/>
                  <w:rtl w:val="0"/>
                </w:rPr>
                <w:t xml:space="preserve">dawn_lum@hotmail com</w:t>
              </w:r>
            </w:hyperlink>
            <w:r w:rsidDel="00000000" w:rsidR="00000000" w:rsidRPr="00000000">
              <w:rPr>
                <w:rFonts w:ascii="DM Sans" w:cs="DM Sans" w:eastAsia="DM Sans" w:hAnsi="DM Sans"/>
                <w:color w:val="121010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</w:rPr>
              <w:drawing>
                <wp:inline distB="0" distT="0" distL="0" distR="0">
                  <wp:extent cx="133350" cy="13335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  +65-9873-3334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tabs>
                <w:tab w:val="left" w:leader="none" w:pos="1980"/>
                <w:tab w:val="left" w:leader="none" w:pos="2160"/>
                <w:tab w:val="left" w:leader="none" w:pos="2340"/>
                <w:tab w:val="left" w:leader="none" w:pos="2430"/>
              </w:tabs>
              <w:spacing w:after="80" w:line="276" w:lineRule="auto"/>
              <w:ind w:right="120"/>
              <w:rPr>
                <w:rFonts w:ascii="DM Sans" w:cs="DM Sans" w:eastAsia="DM Sans" w:hAnsi="DM Sans"/>
                <w:color w:val="0c488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c4880"/>
                <w:sz w:val="18"/>
                <w:szCs w:val="18"/>
                <w:rtl w:val="0"/>
              </w:rPr>
              <w:t xml:space="preserve">Strategic marketing professional with over 20 years’ experience and strong knowledge in ASEAN and APJ nuance that drives high-impact growth programs for SaaS vendors and tech solutions. Proven track record in leading and mentoring regional teams to execute tailored 360° marketing and demand generation campaigns, achieving 15–40% YoY pipeline growth.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1980"/>
                <w:tab w:val="left" w:leader="none" w:pos="2160"/>
                <w:tab w:val="left" w:leader="none" w:pos="2340"/>
                <w:tab w:val="left" w:leader="none" w:pos="2430"/>
              </w:tabs>
              <w:spacing w:line="276" w:lineRule="auto"/>
              <w:ind w:right="120"/>
              <w:rPr>
                <w:rFonts w:ascii="DM Sans" w:cs="DM Sans" w:eastAsia="DM Sans" w:hAnsi="DM Sans"/>
                <w:color w:val="0c488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c4880"/>
                <w:sz w:val="18"/>
                <w:szCs w:val="18"/>
                <w:rtl w:val="0"/>
              </w:rPr>
              <w:t xml:space="preserve">Skilled with use of AI and martech in developing and executing integrated multi-channel, digital and content, large-scale events, efficacy and data-driven full-funnel marketing aligned to stakeholders’ GTM objectives. Awarded in recognition for building scalable processes, delivering impactful strategies with cross-functional collaboration.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1980"/>
                <w:tab w:val="left" w:leader="none" w:pos="2160"/>
                <w:tab w:val="left" w:leader="none" w:pos="2340"/>
                <w:tab w:val="left" w:leader="none" w:pos="2430"/>
              </w:tabs>
              <w:spacing w:line="276" w:lineRule="auto"/>
              <w:ind w:right="120"/>
              <w:rPr>
                <w:rFonts w:ascii="DM Sans" w:cs="DM Sans" w:eastAsia="DM Sans" w:hAnsi="DM Sans"/>
                <w:i w:val="1"/>
                <w:color w:val="0c488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color w:val="0c4880"/>
                <w:sz w:val="18"/>
                <w:szCs w:val="18"/>
                <w:rtl w:val="0"/>
              </w:rPr>
              <w:t xml:space="preserve">Availability: Immediate</w:t>
            </w:r>
            <w:r w:rsidDel="00000000" w:rsidR="00000000" w:rsidRPr="00000000">
              <w:rPr>
                <w:rFonts w:ascii="DM Sans" w:cs="DM Sans" w:eastAsia="DM Sans" w:hAnsi="DM Sans"/>
                <w:i w:val="1"/>
                <w:color w:val="0c4880"/>
                <w:sz w:val="18"/>
                <w:szCs w:val="18"/>
                <w:rtl w:val="0"/>
              </w:rPr>
              <w:t xml:space="preserve"> (Re-org due to M&amp;A)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widowControl w:val="0"/>
        <w:tabs>
          <w:tab w:val="left" w:leader="none" w:pos="270"/>
        </w:tabs>
        <w:spacing w:after="160" w:before="6" w:line="288" w:lineRule="auto"/>
        <w:ind w:left="180" w:firstLine="0"/>
        <w:rPr>
          <w:rFonts w:ascii="DM Sans" w:cs="DM Sans" w:eastAsia="DM Sans" w:hAnsi="DM Sans"/>
          <w:b w:val="1"/>
          <w:sz w:val="20"/>
          <w:szCs w:val="20"/>
          <w:u w:val="single"/>
        </w:rPr>
      </w:pPr>
      <w:bookmarkStart w:colFirst="0" w:colLast="0" w:name="_heading=h.8q9ed6s4w94w" w:id="0"/>
      <w:bookmarkEnd w:id="0"/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u w:val="single"/>
          <w:rtl w:val="0"/>
        </w:rPr>
        <w:t xml:space="preserve">Working Experience &amp; Achievements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rtl w:val="0"/>
        </w:rPr>
        <w:t xml:space="preserve">KX</w:t>
      </w: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21010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Database &amp; Analytics Saas for AI &amp; Fintech, HQ in US &amp; UK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11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Senior Field Marketing Manager</w:t>
      </w:r>
      <w:r w:rsidDel="00000000" w:rsidR="00000000" w:rsidRPr="00000000">
        <w:rPr>
          <w:rFonts w:ascii="DM Sans" w:cs="DM Sans" w:eastAsia="DM Sans" w:hAnsi="DM Sans"/>
          <w:b w:val="1"/>
          <w:i w:val="1"/>
          <w:color w:val="434343"/>
          <w:sz w:val="18"/>
          <w:szCs w:val="18"/>
          <w:rtl w:val="0"/>
        </w:rPr>
        <w:t xml:space="preserve"> [Marketing lead, APJ]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  (May 2024 – Sep 2025)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leader="none" w:pos="63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Leveraging AI to help develop, localize and execute scalable end-to-end integrated marketing plans that are strongly aligned for market relevance across Singapore, Hong Kong, Australia, and Japan with geo and regional leaders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leader="none" w:pos="63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Drove and optimized ICP / vertical-focused data-driven demand generation campaigns for measurable MQL and conversions through ABX, owned and sponsored events events, digital campaigns, and partner marketing initiatives for land / expand sales motions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leader="none" w:pos="63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Established marketing frameworks and processes for cross-functional collaborations with Global Marketing Ops, Content and ABM to to align reporting, attribution, and deliver ROI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leader="none" w:pos="63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Achieved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YoY 6x increase in event activities, 40% uplift in pipeline generation, and 15x ROI within six months by implementing a robust event and metric-tracking strategy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leader="none" w:pos="63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Recognized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with the Q3 Marketer of the Quarter Award (Dec 2024) for outstanding performance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270"/>
        </w:tabs>
        <w:spacing w:after="40" w:before="40" w:line="288" w:lineRule="auto"/>
        <w:ind w:left="72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OutSystems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Appdev /Low-code PaaS (hypergrowth unicorn) HQ in US, Portugal, Singapore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Senior Partner &amp; Channel Marketing Manager, APAC (2022 – May 2024)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Led APAC partner marketing strategies for ABX/GTM across SEA, ANZ, India, Greater China and North Asia (11 countries)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Drive large-scale events to grow partner/channel ecosystem, support including partner-led markets in partner recruitment, enablement, joint events/activities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Developed marketing playbooks and plans with Local Partners, Global SIs, and Tech Alliances (e g AWS), strengthening “With,” “Through,” and “To” approaches for partner-sourced /co-sell pipeline contributions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Built and optimized partner/channel budgets and funding frameworks, ensuring efficient allocation and measurable ROI 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Senior Field Marketing Manager, SEA/APAC (2018 - May 2022) Promoted in 2020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Led as strategic GTM business partner to each country's multiple stakeholders with cross-functional collaboration across corporate marketing and field divisions (PR, content, marketing Ops, digital campaigns, sales, pre-sales, SDRs, CSMs, PSMs) for data-driven GTM priorities alignment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Owned, executed and optimized full-funnelled field and demand generation marketing and QBRs and reporting including awareness, education, and demand generation campaigns targeting C-suite, IT decision-makers, and developers, adopting vertical and use-case–specific approaches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Championed 360° marketing including customer advocacy, PR, content creation, digital and paid syndication, partner engagement while localizing global and ABM initiatives to maximize regional impact and goals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Spearheaded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versatile turnaround to results-oriented digital-first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activties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during COVID-19 (which was  later adopted globally), ensuring continuity in marketing engagement and measurable pipeline contributions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Helped mentor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and expand the APAC Field Marketing team from 2 to 8, improving capabilities and effectiveness, while introducing new partner/channel marketing structures through streamlined workflows and processes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Achieved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15–40% SEA pipeline growth over 4 years, contributing to new markets expansion, stronger partner ecosystems, team &amp; cross-functional collaboration and growth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Appraised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for successfully building a new partner/channel marketing framework and boosted partner-sourced pipeline across APAC; </w:t>
      </w: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Awarded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Global Top Performer (2021) and attained Forrester’s B2B Marketing Foundation Certificate 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Cloudaron Group / Pro-Datech Systems</w:t>
      </w:r>
      <w:r w:rsidDel="00000000" w:rsidR="00000000" w:rsidRPr="00000000">
        <w:rPr>
          <w:rFonts w:ascii="DM Sans" w:cs="DM Sans" w:eastAsia="DM Sans" w:hAnsi="DM Sans"/>
          <w:color w:val="12101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Saas Vendor / SI: Premier partner of VMWare, Dell/EMC, HPE, Nutanix, Veeam, Aruba, CyberArk etc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Group Marketing Manager (2016 – 2018)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Developed &amp; implemented corporate marketing frameworks in collaboration with Group &amp; subsidiaries CEOs; Pre &amp; Post-IPO efforts: Reinforced strategic corporate image, GTM, positioning, investor communications and market visibility for VC funding &amp; IPO listing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Built Digital &amp; Content Marketing practice - corporate profile, solution content, website, social media presence, optimize SEO, web traffic, inbound leads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Conducted gap analyses with business consultants to co-create optimized sales processes and workflows, enhancing efficiency and revenue potential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Executed joint marketing programs with key vendors and distributors to expand solution reach and partner engagement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Led productization &amp; joint business development of new SaaS and SI/MS offerings, Drove market share growth through strategic GTM planning, tactical execution 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Contributed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to 20% revenue growth; </w:t>
      </w: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championed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a Workplace Learning Project for sales enablement and training; led sales consultancy and analysis initiatives with the Senior Leadership Team 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Conversant Solutions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CDN &amp; OTT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Vendor (Saas /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Manager, SEA (2015 – 2016)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Defined regional marketing strategy and execution roadmap across ASEAN markets, aligning corporate and field-level priorities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Developed corporate communications and strengthened product portfolio positioning to support IPO readiness, technology alliances, and sales channel engagement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Drove end-to-end business development for new SaaS offerings, from conceptualizing business plans to operational launch and execution across Asia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tabs>
          <w:tab w:val="left" w:leader="none" w:pos="18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Created comprehensive marketing, sales, and partner content, toolkits, including knowledge bases and collateral libraries for field GTM and scalable programs </w:t>
      </w:r>
    </w:p>
    <w:p w:rsidR="00000000" w:rsidDel="00000000" w:rsidP="00000000" w:rsidRDefault="00000000" w:rsidRPr="00000000" w14:paraId="00000032">
      <w:pPr>
        <w:widowControl w:val="0"/>
        <w:ind w:left="180" w:right="250" w:firstLine="0"/>
        <w:rPr>
          <w:rFonts w:ascii="DM Sans" w:cs="DM Sans" w:eastAsia="DM Sans" w:hAnsi="DM Sans"/>
          <w:b w:val="1"/>
          <w:color w:val="0c488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widowControl w:val="0"/>
        <w:spacing w:after="160" w:before="100" w:lineRule="auto"/>
        <w:ind w:left="180" w:right="250" w:firstLine="0"/>
        <w:rPr>
          <w:rFonts w:ascii="DM Sans" w:cs="DM Sans" w:eastAsia="DM Sans" w:hAnsi="DM Sans"/>
          <w:b w:val="1"/>
          <w:sz w:val="20"/>
          <w:szCs w:val="20"/>
          <w:u w:val="single"/>
        </w:rPr>
      </w:pPr>
      <w:bookmarkStart w:colFirst="0" w:colLast="0" w:name="_heading=h.xung2q3pr2g5" w:id="1"/>
      <w:bookmarkEnd w:id="1"/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u w:val="single"/>
          <w:rtl w:val="0"/>
        </w:rPr>
        <w:t xml:space="preserve">Other Experience in Sales &amp; Marketing (1997 – 2014)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b w:val="1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Smart Telecommunications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–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 VoIP/IDD Telco provider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1"/>
          <w:color w:val="12101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Manager,  HOD team of 3  (2013 – 2014)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49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Build consumer (B2C) loyalty programs, demand generation, events, branding and advertising activities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49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Work with Call-center to push &amp; manage promotional campaigns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49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Build new product marketing plan &amp; launches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tabs>
          <w:tab w:val="left" w:leader="none" w:pos="270"/>
        </w:tabs>
        <w:spacing w:after="160" w:before="40" w:line="288" w:lineRule="auto"/>
        <w:ind w:left="360" w:right="249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Build Corporate B2B segment marketing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270"/>
        </w:tabs>
        <w:spacing w:after="40" w:before="40" w:line="288" w:lineRule="auto"/>
        <w:ind w:left="180" w:right="250" w:firstLine="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TME Systems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Tech Distributor of Industrial Automation/ Engineering, Defense &amp; Education solutions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Manager, HOD team of 2  (2008 – 2013)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Created &amp; executed all-rounded marketing activities and GTM for all existing and new product portfolio  include digital, content, branding, communications, events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Built relationship and align marketing plans with overseas principals/ partners with local field teams;  establishing MOU/collaboration with Government bodies (Science Center &amp; MOE), DSTA/ST Engineering &amp; Electronics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tabs>
          <w:tab w:val="left" w:leader="none" w:pos="270"/>
        </w:tabs>
        <w:spacing w:after="16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Revamped corporate branding &amp; strategy, Lead in business consultancy &amp; analysis project with SLT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i w:val="1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20"/>
          <w:szCs w:val="20"/>
          <w:rtl w:val="0"/>
        </w:rPr>
        <w:t xml:space="preserve">ACA Pacific Technology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 –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IT Distributor of Security, Storage, AutoCAD solutions 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Manager; HOD team of 5 in 3 counties  (2005- 2007)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Mentored and guided a multi-country marketing team supporting full portfolio for 3 BUs &amp; 20+ vendors: Autodesk, Fortinet, Trend Micro, Storage Craft, Exabyte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Management of Principal vendors, channels / resellers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tabs>
          <w:tab w:val="left" w:leader="none" w:pos="270"/>
        </w:tabs>
        <w:spacing w:after="4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Direct &amp; Channel marketing, Manage MDF allocation and requests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tabs>
          <w:tab w:val="left" w:leader="none" w:pos="270"/>
        </w:tabs>
        <w:spacing w:after="160" w:before="40" w:line="288" w:lineRule="auto"/>
        <w:ind w:left="360" w:right="250" w:hanging="180"/>
        <w:rPr>
          <w:rFonts w:ascii="DM Sans" w:cs="DM Sans" w:eastAsia="DM Sans" w:hAnsi="DM Sans"/>
          <w:color w:val="121010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New vendors and products launches &amp; GTM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0"/>
        </w:tabs>
        <w:spacing w:after="160" w:before="10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LANworks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IT Systems Integrator / Reseller: Premier partner of Microsoft, Cisco, IBM, HP, CA etc - 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Manager; manage team of 2  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0"/>
        </w:tabs>
        <w:spacing w:after="160" w:before="10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Pacific Technology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IT Distributor for Security, Networking vendors: Watchguard, SonicWall, F5, Symantec etc - 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Manager; GTM Marketing for over 20 vendors/products 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0"/>
        </w:tabs>
        <w:spacing w:after="160" w:before="10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121010"/>
          <w:sz w:val="18"/>
          <w:szCs w:val="18"/>
          <w:rtl w:val="0"/>
        </w:rPr>
        <w:t xml:space="preserve">Sports Network </w:t>
      </w:r>
      <w:r w:rsidDel="00000000" w:rsidR="00000000" w:rsidRPr="00000000">
        <w:rPr>
          <w:rFonts w:ascii="DM Sans" w:cs="DM Sans" w:eastAsia="DM Sans" w:hAnsi="DM Sans"/>
          <w:color w:val="121010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DM Sans" w:cs="DM Sans" w:eastAsia="DM Sans" w:hAnsi="DM Sans"/>
          <w:i w:val="1"/>
          <w:color w:val="121010"/>
          <w:sz w:val="18"/>
          <w:szCs w:val="18"/>
          <w:rtl w:val="0"/>
        </w:rPr>
        <w:t xml:space="preserve">Sports/Golf vendor, retailer &amp; distributor, academy - 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Marketing Executive; Product marketing for B2C retail, training services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0"/>
        </w:tabs>
        <w:spacing w:after="160" w:before="100" w:line="288" w:lineRule="auto"/>
        <w:ind w:left="180" w:right="250" w:firstLine="0"/>
        <w:rPr>
          <w:rFonts w:ascii="DM Sans" w:cs="DM Sans" w:eastAsia="DM Sans" w:hAnsi="DM Sans"/>
          <w:b w:val="1"/>
          <w:color w:val="434343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Stone Forest IT </w:t>
      </w:r>
      <w:r w:rsidDel="00000000" w:rsidR="00000000" w:rsidRPr="00000000">
        <w:rPr>
          <w:rFonts w:ascii="DM Sans" w:cs="DM Sans" w:eastAsia="DM Sans" w:hAnsi="DM Sans"/>
          <w:i w:val="1"/>
          <w:color w:val="434343"/>
          <w:sz w:val="18"/>
          <w:szCs w:val="18"/>
          <w:rtl w:val="0"/>
        </w:rPr>
        <w:t xml:space="preserve">- Accpac/Sage Accounting Software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434343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M Sans" w:cs="DM Sans" w:eastAsia="DM Sans" w:hAnsi="DM Sans"/>
          <w:b w:val="1"/>
          <w:color w:val="434343"/>
          <w:sz w:val="18"/>
          <w:szCs w:val="18"/>
          <w:rtl w:val="0"/>
        </w:rPr>
        <w:t xml:space="preserve">Sales &amp; Marketing Executive, Direct Sales &amp; Product Marketing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3840"/>
        <w:tblGridChange w:id="0">
          <w:tblGrid>
            <w:gridCol w:w="6990"/>
            <w:gridCol w:w="3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spacing w:after="160" w:before="60" w:line="288" w:lineRule="auto"/>
              <w:ind w:left="90" w:firstLine="0"/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</w:rPr>
            </w:pPr>
            <w:bookmarkStart w:colFirst="0" w:colLast="0" w:name="_heading=h.sdmyyadkkry7" w:id="2"/>
            <w:bookmarkEnd w:id="2"/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  <w:rtl w:val="0"/>
              </w:rPr>
              <w:t xml:space="preserve">Marketing Competencies</w:t>
            </w:r>
          </w:p>
          <w:p w:rsidR="00000000" w:rsidDel="00000000" w:rsidP="00000000" w:rsidRDefault="00000000" w:rsidRPr="00000000" w14:paraId="0000004C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  <w:rtl w:val="0"/>
              </w:rPr>
              <w:t xml:space="preserve">Field &amp; DemandGen / Revenue Marketing</w:t>
            </w:r>
          </w:p>
          <w:p w:rsidR="00000000" w:rsidDel="00000000" w:rsidP="00000000" w:rsidRDefault="00000000" w:rsidRPr="00000000" w14:paraId="0000004D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Design &amp; localize regional marketing mix playbook in respect to business nuances </w:t>
            </w:r>
          </w:p>
          <w:p w:rsidR="00000000" w:rsidDel="00000000" w:rsidP="00000000" w:rsidRDefault="00000000" w:rsidRPr="00000000" w14:paraId="0000004E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Cross-functional collaboration to execute tactical GTM strategies across events, digital campaigns, ABM, lead and demand generation, solution bundling, and A&amp;P initiatives </w:t>
            </w:r>
          </w:p>
          <w:p w:rsidR="00000000" w:rsidDel="00000000" w:rsidP="00000000" w:rsidRDefault="00000000" w:rsidRPr="00000000" w14:paraId="0000004F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Achieve joint sales objectives and Pipeline targets, optimize campaign performance with measurable KPIs for QBRs </w:t>
              <w:br w:type="textWrapping"/>
            </w:r>
          </w:p>
          <w:p w:rsidR="00000000" w:rsidDel="00000000" w:rsidP="00000000" w:rsidRDefault="00000000" w:rsidRPr="00000000" w14:paraId="00000050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  <w:rtl w:val="0"/>
              </w:rPr>
              <w:t xml:space="preserve">Partner &amp; Channel Marketing</w:t>
            </w:r>
          </w:p>
          <w:p w:rsidR="00000000" w:rsidDel="00000000" w:rsidP="00000000" w:rsidRDefault="00000000" w:rsidRPr="00000000" w14:paraId="00000051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Manage relationships with GSIs, local partners, tech alliances, distributors, and resellers </w:t>
            </w:r>
          </w:p>
          <w:p w:rsidR="00000000" w:rsidDel="00000000" w:rsidP="00000000" w:rsidRDefault="00000000" w:rsidRPr="00000000" w14:paraId="00000052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Build partner tools, portals, workflows and cadence for joint business planning and MDF </w:t>
            </w:r>
          </w:p>
          <w:p w:rsidR="00000000" w:rsidDel="00000000" w:rsidP="00000000" w:rsidRDefault="00000000" w:rsidRPr="00000000" w14:paraId="00000053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Drive joint GTM solutioning, account mapping, ABM, sponsorships, and partner engagement/enablement communications </w:t>
              <w:br w:type="textWrapping"/>
            </w:r>
          </w:p>
          <w:p w:rsidR="00000000" w:rsidDel="00000000" w:rsidP="00000000" w:rsidRDefault="00000000" w:rsidRPr="00000000" w14:paraId="00000054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  <w:rtl w:val="0"/>
              </w:rPr>
              <w:t xml:space="preserve">Corporate &amp; Communications Marketing</w:t>
            </w:r>
          </w:p>
          <w:p w:rsidR="00000000" w:rsidDel="00000000" w:rsidP="00000000" w:rsidRDefault="00000000" w:rsidRPr="00000000" w14:paraId="00000055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Develop and execute regional and local marketing plans in collaboration with CEOs and stakeholders </w:t>
            </w:r>
          </w:p>
          <w:p w:rsidR="00000000" w:rsidDel="00000000" w:rsidP="00000000" w:rsidRDefault="00000000" w:rsidRPr="00000000" w14:paraId="00000056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Align business, GTM, and marketing objectives, including branding, positioning, value propositions, gap analysis, and budgeting </w:t>
            </w:r>
          </w:p>
          <w:p w:rsidR="00000000" w:rsidDel="00000000" w:rsidP="00000000" w:rsidRDefault="00000000" w:rsidRPr="00000000" w14:paraId="00000057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Lead PR, marcoms, and content libraries, customer case studies, and sales/partner enablement initiatives </w:t>
              <w:br w:type="textWrapping"/>
            </w:r>
          </w:p>
          <w:p w:rsidR="00000000" w:rsidDel="00000000" w:rsidP="00000000" w:rsidRDefault="00000000" w:rsidRPr="00000000" w14:paraId="00000058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  <w:rtl w:val="0"/>
              </w:rPr>
              <w:t xml:space="preserve">Digital &amp; Content / Product Marketing</w:t>
            </w:r>
          </w:p>
          <w:p w:rsidR="00000000" w:rsidDel="00000000" w:rsidP="00000000" w:rsidRDefault="00000000" w:rsidRPr="00000000" w14:paraId="00000059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Curate and syndicate content across the buyer journey and personas; manage websites, landing pages, eDMs, social media, media buys, SEO/SEM, analytics, and A/B testing </w:t>
            </w:r>
          </w:p>
          <w:p w:rsidR="00000000" w:rsidDel="00000000" w:rsidP="00000000" w:rsidRDefault="00000000" w:rsidRPr="00000000" w14:paraId="0000005A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Create product value propositions and positioning, solution &amp; use-case mapping, product lifecycle and launches</w:t>
              <w:br w:type="textWrapping"/>
            </w:r>
          </w:p>
          <w:p w:rsidR="00000000" w:rsidDel="00000000" w:rsidP="00000000" w:rsidRDefault="00000000" w:rsidRPr="00000000" w14:paraId="0000005B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121010"/>
                <w:sz w:val="18"/>
                <w:szCs w:val="18"/>
                <w:rtl w:val="0"/>
              </w:rPr>
              <w:t xml:space="preserve">People &amp; Department Leadership</w:t>
            </w:r>
          </w:p>
          <w:p w:rsidR="00000000" w:rsidDel="00000000" w:rsidP="00000000" w:rsidRDefault="00000000" w:rsidRPr="00000000" w14:paraId="0000005C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Establish and lead marketing departments, define corporate and product positioning </w:t>
            </w:r>
          </w:p>
          <w:p w:rsidR="00000000" w:rsidDel="00000000" w:rsidP="00000000" w:rsidRDefault="00000000" w:rsidRPr="00000000" w14:paraId="0000005D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Recruit, onboard, and mentor talent, build processes/workflows, align marketing with sales/stakeholders, and drive team performance </w:t>
              <w:br w:type="textWrapping"/>
              <w:t xml:space="preserve">Represent the department in SLT meetings and oversee reporting to ensure strategic alignment and business impact </w:t>
            </w:r>
          </w:p>
          <w:p w:rsidR="00000000" w:rsidDel="00000000" w:rsidP="00000000" w:rsidRDefault="00000000" w:rsidRPr="00000000" w14:paraId="0000005E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60" w:before="60" w:line="288" w:lineRule="auto"/>
              <w:ind w:left="90" w:firstLine="0"/>
              <w:rPr>
                <w:rFonts w:ascii="DM Sans" w:cs="DM Sans" w:eastAsia="DM Sans" w:hAnsi="DM Sans"/>
                <w:b w:val="1"/>
                <w:color w:val="0c488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c4880"/>
                <w:sz w:val="18"/>
                <w:szCs w:val="18"/>
                <w:rtl w:val="0"/>
              </w:rPr>
              <w:t xml:space="preserve">Marketing Performance Measurements</w:t>
            </w:r>
          </w:p>
          <w:p w:rsidR="00000000" w:rsidDel="00000000" w:rsidP="00000000" w:rsidRDefault="00000000" w:rsidRPr="00000000" w14:paraId="00000060">
            <w:pPr>
              <w:spacing w:after="60" w:before="60" w:line="288" w:lineRule="auto"/>
              <w:ind w:left="90" w:firstLine="0"/>
              <w:rPr/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Data-driven metrics include (not limited to) events 15X ROI, campaigns &amp; attributions : CPL/CPA, new user/inbound leads acquisition, engaged leads, MQL, SQO and respective conversion rates, 3-4X pipeline - attribution by direct generation, marketing influenced, partner-sourced &amp; influenced, SOV, web traffic &amp; goals/conversions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spacing w:after="160" w:before="60" w:line="288" w:lineRule="auto"/>
              <w:ind w:left="360" w:hanging="270"/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</w:rPr>
            </w:pPr>
            <w:bookmarkStart w:colFirst="0" w:colLast="0" w:name="_heading=h.uaq3mowt0e3z" w:id="3"/>
            <w:bookmarkEnd w:id="3"/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Professional Diploma in Digital Innovation (Nov 2025 - Mar 2026)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Bachelor of Business Administration, Thames Valley University (UK), (December 1997)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Graduate Diploma in Marketing, Chartered Institute of Marketing (UK), (August 1995)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Diploma in Business Administration (Major in Marketing), Singapore Polytechnic, (July 1990-1993)</w:t>
              <w:tab/>
            </w:r>
          </w:p>
          <w:p w:rsidR="00000000" w:rsidDel="00000000" w:rsidP="00000000" w:rsidRDefault="00000000" w:rsidRPr="00000000" w14:paraId="00000066">
            <w:p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67">
            <w:pPr>
              <w:pStyle w:val="Heading3"/>
              <w:spacing w:after="160" w:before="60" w:line="288" w:lineRule="auto"/>
              <w:ind w:left="360" w:hanging="270"/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</w:rPr>
            </w:pPr>
            <w:bookmarkStart w:colFirst="0" w:colLast="0" w:name="_heading=h.7p2cyyqqnpaj" w:id="4"/>
            <w:bookmarkEnd w:id="4"/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  <w:rtl w:val="0"/>
              </w:rPr>
              <w:t xml:space="preserve">Skills / Certification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Forrester (Sirius Decision) B2B Marketing Foundation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Marketo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SalesForce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Photoshop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Canva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Google Analytics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Qualtrics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Demandbase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Bombora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PowerBI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Asana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Cvent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ON24 Webinar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Zoom Webinar/Meeting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BrightTalk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AI Literacy (General/ Marketing)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Heading3"/>
              <w:spacing w:after="160" w:before="60" w:line="288" w:lineRule="auto"/>
              <w:ind w:left="360" w:hanging="270"/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</w:rPr>
            </w:pPr>
            <w:bookmarkStart w:colFirst="0" w:colLast="0" w:name="_heading=h.nv6uo6sc5hpy" w:id="5"/>
            <w:bookmarkEnd w:id="5"/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English (Fluent, Read/Write/Speak)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Chinese (Fluent, Read/Write/Speak)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Cantonese (Fluent, Read/Speak)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Style w:val="Heading3"/>
              <w:spacing w:after="160" w:before="60" w:line="288" w:lineRule="auto"/>
              <w:ind w:left="360" w:hanging="270"/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</w:rPr>
            </w:pPr>
            <w:bookmarkStart w:colFirst="0" w:colLast="0" w:name="_heading=h.k83d95q5vt4y" w:id="6"/>
            <w:bookmarkEnd w:id="6"/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u w:val="single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Jeffrey Lim (Account Director, KX)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after="60" w:before="60" w:line="288" w:lineRule="auto"/>
              <w:ind w:left="360" w:hanging="270"/>
              <w:rPr>
                <w:rFonts w:ascii="DM Sans" w:cs="DM Sans" w:eastAsia="DM Sans" w:hAnsi="DM Sans"/>
                <w:color w:val="121010"/>
                <w:sz w:val="18"/>
                <w:szCs w:val="18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121010"/>
                <w:sz w:val="18"/>
                <w:szCs w:val="18"/>
                <w:rtl w:val="0"/>
              </w:rPr>
              <w:t xml:space="preserve">Jeraldine Kon (Senior Director-Demand Gen APAC, OutSystems)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81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mailto:dawn_lum@hotmail.co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dawnlu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nJJwFWxXsS0X1vGtCcaDNMPWQ==">CgMxLjAyDmguOHE5ZWQ2czR3OTR3Mg5oLnh1bmcycTNwcjJnNTIOaC5zZG15eWFka2tyeTcyDmgudWFxM21vd3QwZTN6Mg5oLjdwMmN5eXFxbnBhajIOaC5udjZ1bzZzYzVocHkyDmguazgzZDk1cTV2dDR5OAByITFZN09abTlvOFNrOXFkYmF0eUpXSlVOeVR1a2lXWUROdw==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