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Lab 5: Triton Custom Batch Normalization Operator</w:t>
      </w:r>
    </w:p>
    <w:p>
      <w:r>
        <w:t>CSED490F 딥러닝 구현  |  Team 6</w:t>
      </w:r>
    </w:p>
    <w:p>
      <w:pPr>
        <w:pStyle w:val="Heading1"/>
      </w:pPr>
      <w:r>
        <w:t>1. 개요</w:t>
      </w:r>
    </w:p>
    <w:p>
      <w:r>
        <w:t>BN의 forward와 backward를 Triton 커널로 구현했다. 정확도는 torch.nn.BatchNorm2d와, 속도는 제공된 CUDA 구현(batchnorm.cu)과 비교했다.</w:t>
      </w:r>
    </w:p>
    <w:p>
      <w:pPr>
        <w:pStyle w:val="Heading1"/>
      </w:pPr>
      <w:r>
        <w:t>2. Forward 구현</w:t>
      </w:r>
    </w:p>
    <w:p>
      <w:pPr>
        <w:pStyle w:val="Heading2"/>
      </w:pPr>
      <w:r>
        <w:t>2.1 Training 커널</w:t>
      </w:r>
    </w:p>
    <w:p>
      <w:r>
        <w:t>(작성 예정)</w:t>
      </w:r>
    </w:p>
    <w:p>
      <w:pPr>
        <w:pStyle w:val="Heading2"/>
      </w:pPr>
      <w:r>
        <w:t>2.2 Inference 커널</w:t>
      </w:r>
    </w:p>
    <w:p>
      <w:r>
        <w:t>(작성 예정)</w:t>
      </w:r>
    </w:p>
    <w:p>
      <w:pPr>
        <w:pStyle w:val="Heading2"/>
      </w:pPr>
      <w:r>
        <w:t>2.3 결과 및 분석</w:t>
      </w:r>
    </w:p>
    <w:p>
      <w:r>
        <w:t>(작성 예정)</w:t>
      </w:r>
    </w:p>
    <w:p>
      <w:pPr>
        <w:pStyle w:val="Heading1"/>
      </w:pPr>
      <w:r>
        <w:t>3. Backward 구현</w:t>
      </w:r>
    </w:p>
    <w:p>
      <w:pPr>
        <w:pStyle w:val="Heading2"/>
      </w:pPr>
      <w:r>
        <w:t>3.1 실험 환경</w:t>
      </w:r>
    </w:p>
    <w:p>
      <w:pPr>
        <w:pStyle w:val="ListBullet"/>
      </w:pPr>
      <w:r>
        <w:rPr>
          <w:b/>
        </w:rPr>
        <w:t xml:space="preserve">환경: </w:t>
      </w:r>
      <w:r>
        <w:t>RTX 3090 (메모리 대역폭 최대 936 GB/s), PyTorch 2.7.1, Triton 3.3.1</w:t>
      </w:r>
    </w:p>
    <w:p>
      <w:pPr>
        <w:pStyle w:val="ListBullet"/>
      </w:pPr>
      <w:r>
        <w:rPr>
          <w:b/>
        </w:rPr>
        <w:t xml:space="preserve">조건: </w:t>
      </w:r>
      <w:r>
        <w:t>ops.py에 고정된 grid = (C,), BLOCK_SIZE = 1024 (채널 1개당 프로그램 1개)</w:t>
      </w:r>
    </w:p>
    <w:p>
      <w:pPr>
        <w:pStyle w:val="ListBullet"/>
      </w:pPr>
      <w:r>
        <w:rPr>
          <w:b/>
        </w:rPr>
        <w:t xml:space="preserve">측정: </w:t>
      </w:r>
      <w:r>
        <w:t>test_batchnorm.py (do_bench, median), 입력 3종</w:t>
      </w:r>
    </w:p>
    <w:p>
      <w:pPr>
        <w:pStyle w:val="Heading2"/>
      </w:pPr>
      <w:r>
        <w:t>3.2 수식</w:t>
      </w:r>
    </w:p>
    <w:p>
      <w:r>
        <w:t>채널마다 M = N·H·W, x̂ = (x − mean)·invstd 일 때:</w:t>
      </w:r>
    </w:p>
    <w:p>
      <w:pPr>
        <w:jc w:val="center"/>
      </w:pPr>
      <w:r>
        <w:t>grad_beta = Σdy,    grad_gamma = Σdy·x̂</w:t>
      </w:r>
    </w:p>
    <w:p>
      <w:pPr>
        <w:jc w:val="center"/>
      </w:pPr>
      <w:r>
        <w:t>grad_x = gamma·invstd/M · (M·dy − Σdy − x̂·Σdy·x̂)</w:t>
      </w:r>
    </w:p>
    <w:p>
      <w:r>
        <w:t>합 두 개(Σdy, Σdy·x̂)가 먼저 있어야 grad_x를 계산할 수 있으므로, 커널은 2-pass로 동작한다.</w:t>
      </w:r>
    </w:p>
    <w:p>
      <w:pPr>
        <w:pStyle w:val="Heading2"/>
      </w:pPr>
      <w:r>
        <w:t>3.3 구현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8363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36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그림 1. Backward 커널 동작 (프로그램 c 하나 기준)</w:t>
      </w:r>
    </w:p>
    <w:p>
      <w:pPr>
        <w:pStyle w:val="ListBullet"/>
      </w:pPr>
      <w:r>
        <w:rPr>
          <w:b/>
        </w:rPr>
        <w:t xml:space="preserve">연속 메모리 순회: </w:t>
      </w:r>
      <w:r>
        <w:t>평탄화 인덱스 대신 (n, 공간 블록) 순서로 돈다. 주소가 연속이라 나눗셈이 없고, 128-bit 벡터 load가 된다.</w:t>
      </w:r>
    </w:p>
    <w:p>
      <w:pPr>
        <w:pStyle w:val="ListBullet"/>
      </w:pPr>
      <w:r>
        <w:rPr>
          <w:b/>
        </w:rPr>
        <w:t xml:space="preserve">레지스터 누적: </w:t>
      </w:r>
      <w:r>
        <w:t>부분합을 레지스터 벡터에 모아 두고 마지막에 tl.sum을 한 번만 한다.</w:t>
      </w:r>
    </w:p>
    <w:p>
      <w:pPr>
        <w:pStyle w:val="ListBullet"/>
      </w:pPr>
      <w:r>
        <w:rPr>
          <w:b/>
        </w:rPr>
        <w:t xml:space="preserve">상수 미리 계산: </w:t>
      </w:r>
      <w:r>
        <w:t>grad_x = k_dy·dy + k_x·x + k_0 로 정리해 원소당 곱셈-덧셈 2번으로 끝낸다.</w:t>
      </w:r>
    </w:p>
    <w:p>
      <w:pPr>
        <w:pStyle w:val="ListBullet"/>
      </w:pPr>
      <w:r>
        <w:rPr>
          <w:b/>
        </w:rPr>
        <w:t xml:space="preserve">역순 Pass 2: </w:t>
      </w:r>
      <w:r>
        <w:t>Pass 2를 거꾸로 돌아, L2 캐시에 남아 있는 최근 데이터부터 다시 읽는다.</w:t>
      </w:r>
    </w:p>
    <w:p>
      <w:pPr>
        <w:pStyle w:val="ListBullet"/>
      </w:pPr>
      <w:r>
        <w:rPr>
          <w:b/>
        </w:rPr>
        <w:t xml:space="preserve">num_warps 튜닝: </w:t>
      </w:r>
      <w:r>
        <w:t>SM당 프로그램이 1개뿐이라 warp 수가 중요하다. autotune으로 {4, 8, 16} 중 고르며, 8이 선택됐다.</w:t>
      </w:r>
    </w:p>
    <w:p>
      <w:pPr>
        <w:pStyle w:val="Heading2"/>
      </w:pPr>
      <w:r>
        <w:t>3.4 정확도</w:t>
      </w:r>
    </w:p>
    <w:p>
      <w:r>
        <w:t>모든 입력에서 상대 오차가 1e-6 수준으로, 기준(1e-3)을 통과했다.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pPr>
              <w:jc w:val="center"/>
            </w:pPr>
            <w:r>
              <w:rPr>
                <w:b/>
              </w:rPr>
              <w:t>입력 (N×C×H×W)</w:t>
            </w:r>
          </w:p>
        </w:tc>
        <w:tc>
          <w:tcPr>
            <w:tcW w:type="dxa" w:w="2256"/>
          </w:tcPr>
          <w:p>
            <w:pPr>
              <w:jc w:val="center"/>
            </w:pPr>
            <w:r>
              <w:rPr>
                <w:b/>
              </w:rPr>
              <w:t>grad_input</w:t>
            </w:r>
          </w:p>
        </w:tc>
        <w:tc>
          <w:tcPr>
            <w:tcW w:type="dxa" w:w="2256"/>
          </w:tcPr>
          <w:p>
            <w:pPr>
              <w:jc w:val="center"/>
            </w:pPr>
            <w:r>
              <w:rPr>
                <w:b/>
              </w:rPr>
              <w:t>grad_gamma</w:t>
            </w:r>
          </w:p>
        </w:tc>
        <w:tc>
          <w:tcPr>
            <w:tcW w:type="dxa" w:w="2256"/>
          </w:tcPr>
          <w:p>
            <w:pPr>
              <w:jc w:val="center"/>
            </w:pPr>
            <w:r>
              <w:rPr>
                <w:b/>
              </w:rPr>
              <w:t>grad_beta</w:t>
            </w:r>
          </w:p>
        </w:tc>
      </w:tr>
      <w:tr>
        <w:tc>
          <w:tcPr>
            <w:tcW w:type="dxa" w:w="2256"/>
          </w:tcPr>
          <w:p>
            <w:pPr>
              <w:jc w:val="center"/>
            </w:pPr>
            <w:r>
              <w:t>8×32×224×224</w:t>
            </w:r>
          </w:p>
        </w:tc>
        <w:tc>
          <w:tcPr>
            <w:tcW w:type="dxa" w:w="2256"/>
          </w:tcPr>
          <w:p>
            <w:pPr>
              <w:jc w:val="center"/>
            </w:pPr>
            <w:r>
              <w:t>3.1e-7</w:t>
            </w:r>
          </w:p>
        </w:tc>
        <w:tc>
          <w:tcPr>
            <w:tcW w:type="dxa" w:w="2256"/>
          </w:tcPr>
          <w:p>
            <w:pPr>
              <w:jc w:val="center"/>
            </w:pPr>
            <w:r>
              <w:t>7.1e-7</w:t>
            </w:r>
          </w:p>
        </w:tc>
        <w:tc>
          <w:tcPr>
            <w:tcW w:type="dxa" w:w="2256"/>
          </w:tcPr>
          <w:p>
            <w:pPr>
              <w:jc w:val="center"/>
            </w:pPr>
            <w:r>
              <w:t>1.1e-6</w:t>
            </w:r>
          </w:p>
        </w:tc>
      </w:tr>
      <w:tr>
        <w:tc>
          <w:tcPr>
            <w:tcW w:type="dxa" w:w="2256"/>
          </w:tcPr>
          <w:p>
            <w:pPr>
              <w:jc w:val="center"/>
            </w:pPr>
            <w:r>
              <w:t>32×64×112×112</w:t>
            </w:r>
          </w:p>
        </w:tc>
        <w:tc>
          <w:tcPr>
            <w:tcW w:type="dxa" w:w="2256"/>
          </w:tcPr>
          <w:p>
            <w:pPr>
              <w:jc w:val="center"/>
            </w:pPr>
            <w:r>
              <w:t>2.2e-7</w:t>
            </w:r>
          </w:p>
        </w:tc>
        <w:tc>
          <w:tcPr>
            <w:tcW w:type="dxa" w:w="2256"/>
          </w:tcPr>
          <w:p>
            <w:pPr>
              <w:jc w:val="center"/>
            </w:pPr>
            <w:r>
              <w:t>5.2e-7</w:t>
            </w:r>
          </w:p>
        </w:tc>
        <w:tc>
          <w:tcPr>
            <w:tcW w:type="dxa" w:w="2256"/>
          </w:tcPr>
          <w:p>
            <w:pPr>
              <w:jc w:val="center"/>
            </w:pPr>
            <w:r>
              <w:t>4.0e-7</w:t>
            </w:r>
          </w:p>
        </w:tc>
      </w:tr>
      <w:tr>
        <w:tc>
          <w:tcPr>
            <w:tcW w:type="dxa" w:w="2256"/>
          </w:tcPr>
          <w:p>
            <w:pPr>
              <w:jc w:val="center"/>
            </w:pPr>
            <w:r>
              <w:t>64×128×56×56</w:t>
            </w:r>
          </w:p>
        </w:tc>
        <w:tc>
          <w:tcPr>
            <w:tcW w:type="dxa" w:w="2256"/>
          </w:tcPr>
          <w:p>
            <w:pPr>
              <w:jc w:val="center"/>
            </w:pPr>
            <w:r>
              <w:t>2.1e-7</w:t>
            </w:r>
          </w:p>
        </w:tc>
        <w:tc>
          <w:tcPr>
            <w:tcW w:type="dxa" w:w="2256"/>
          </w:tcPr>
          <w:p>
            <w:pPr>
              <w:jc w:val="center"/>
            </w:pPr>
            <w:r>
              <w:t>3.9e-7</w:t>
            </w:r>
          </w:p>
        </w:tc>
        <w:tc>
          <w:tcPr>
            <w:tcW w:type="dxa" w:w="2256"/>
          </w:tcPr>
          <w:p>
            <w:pPr>
              <w:jc w:val="center"/>
            </w:pPr>
            <w:r>
              <w:t>5.1e-7</w:t>
            </w:r>
          </w:p>
        </w:tc>
      </w:tr>
    </w:tbl>
    <w:p>
      <w:pPr>
        <w:pStyle w:val="Caption"/>
        <w:jc w:val="center"/>
      </w:pPr>
      <w:r>
        <w:t>표 1. torch.nn.BatchNorm2d 대비 상대 오차 (모두 PASS)</w:t>
      </w:r>
    </w:p>
    <w:p>
      <w:pPr>
        <w:pStyle w:val="Heading2"/>
      </w:pPr>
      <w:r>
        <w:t>3.5 성능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26451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ti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2645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그림 2. Backward 실행 시간: CUDA 대비 3.8~15.6배 빠름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52580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b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5258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그림 3. 유효 대역폭 (x, dy 두 번 읽기 + dx 한 번 쓰기 기준). 단순 Triton = 최적화 없는 버전(평탄화 인덱스, 매 반복 tl.sum, 4 warp)</w:t>
      </w:r>
    </w:p>
    <w:p>
      <w:pPr>
        <w:pStyle w:val="ListBullet"/>
      </w:pPr>
      <w:r>
        <w:rPr>
          <w:b/>
        </w:rPr>
        <w:t xml:space="preserve">최대 대역폭에 근접: </w:t>
      </w:r>
      <w:r>
        <w:t>본 구현은 784~849 GB/s로 하드웨어 최대치(936 GB/s)의 약 85~90%다. 연산이 거의 없는 memory-bound 커널이라 이보다 크게 빨라지기 어렵다.</w:t>
      </w:r>
    </w:p>
    <w:p>
      <w:pPr>
        <w:pStyle w:val="ListBullet"/>
      </w:pPr>
      <w:r>
        <w:rPr>
          <w:b/>
        </w:rPr>
        <w:t xml:space="preserve">CUDA가 느린 이유: </w:t>
      </w:r>
      <w:r>
        <w:t>스레드 하나가 연속된 덩어리를 맡아, 한 warp의 32개 스레드가 멀리 떨어진 주소를 읽는다(비병합 접근). 원소마다 shared memory도 갱신한다.</w:t>
      </w:r>
    </w:p>
    <w:p>
      <w:pPr>
        <w:pStyle w:val="ListBullet"/>
      </w:pPr>
      <w:r>
        <w:rPr>
          <w:b/>
        </w:rPr>
        <w:t xml:space="preserve">채널 수의 영향: </w:t>
      </w:r>
      <w:r>
        <w:t>C = 32이면 SM 82개 중 32개만 쓰므로 프로그램 하나의 효율이 중요하다. 그래서 최적화 효과가 가장 컸다(단순 Triton 대비 1.86배). C = 128에서는 단순 버전도 이미 대역폭 한계라 차이가 없다.</w:t>
      </w:r>
    </w:p>
    <w:p>
      <w:pPr>
        <w:pStyle w:val="Heading2"/>
      </w:pPr>
      <w:r>
        <w:t>3.6 한계</w:t>
      </w:r>
    </w:p>
    <w:p>
      <w:pPr>
        <w:pStyle w:val="ListBullet"/>
      </w:pPr>
      <w:r>
        <w:t>grid = (C,) 고정이라 C가 작으면 GPU를 다 못 쓴다. (N, C)로 나누려면 ops.py 수정이 필요하다.</w:t>
      </w:r>
    </w:p>
    <w:p>
      <w:pPr>
        <w:pStyle w:val="ListBullet"/>
      </w:pPr>
      <w:r>
        <w:t>CUDA 구현처럼 training mode만 가정하며, eval mode backward는 지원하지 않는다.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eastAsia="맑은 고딕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eastAsia="맑은 고딕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맑은 고딕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