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HERKULES</w:t>
      </w:r>
      <w:r>
        <w:t xml:space="preserve"> </w:t>
      </w:r>
      <w:r>
        <w:t xml:space="preserve">1934</w:t>
      </w:r>
      <w:r>
        <w:t xml:space="preserve"> </w:t>
      </w:r>
      <w:r>
        <w:t xml:space="preserve">English</w:t>
      </w:r>
      <w:r>
        <w:t xml:space="preserve"> </w:t>
      </w:r>
      <w:r>
        <w:t xml:space="preserve">Technical</w:t>
      </w:r>
      <w:r>
        <w:t xml:space="preserve"> </w:t>
      </w:r>
      <w:r>
        <w:t xml:space="preserve">Edition</w:t>
      </w:r>
    </w:p>
    <w:p>
      <w:pPr>
        <w:pStyle w:val="Subtitle"/>
      </w:pPr>
      <w:r>
        <w:t xml:space="preserve">Workshop</w:t>
      </w:r>
      <w:r>
        <w:t xml:space="preserve"> </w:t>
      </w:r>
      <w:r>
        <w:t xml:space="preserve">Manual</w:t>
      </w:r>
      <w:r>
        <w:t xml:space="preserve"> </w:t>
      </w:r>
      <w:r>
        <w:t xml:space="preserve">Translation</w:t>
      </w:r>
      <w:r>
        <w:t xml:space="preserve"> </w:t>
      </w:r>
      <w:r>
        <w:t xml:space="preserve">and</w:t>
      </w:r>
      <w:r>
        <w:t xml:space="preserve"> </w:t>
      </w:r>
      <w:r>
        <w:t xml:space="preserve">Reference</w:t>
      </w:r>
      <w:r>
        <w:t xml:space="preserve"> </w:t>
      </w:r>
      <w:r>
        <w:t xml:space="preserve">Edition</w:t>
      </w:r>
    </w:p>
    <w:bookmarkStart w:id="20" w:name="front-matter"/>
    <w:p>
      <w:pPr>
        <w:pStyle w:val="Heading1"/>
      </w:pPr>
      <w:r>
        <w:t xml:space="preserve">Front Matter</w:t>
      </w:r>
    </w:p>
    <w:p>
      <w:pPr>
        <w:pStyle w:val="FirstParagraph"/>
      </w:pPr>
      <w:r>
        <w:t xml:space="preserve">This edition is a working translation and technical reference build.</w:t>
      </w:r>
    </w:p>
    <w:p>
      <w:pPr>
        <w:pStyle w:val="BodyText"/>
      </w:pPr>
      <w:r>
        <w:t xml:space="preserve">The source manual is Swedish. The English edition preserves the original engineering structure while adding modern reference aids.</w:t>
      </w:r>
    </w:p>
    <w:bookmarkEnd w:id="20"/>
    <w:bookmarkStart w:id="21" w:name="introduction---herkules-1934"/>
    <w:p>
      <w:pPr>
        <w:pStyle w:val="Heading1"/>
      </w:pPr>
      <w:r>
        <w:t xml:space="preserve">1 Introduction - HERKULES 1934</w:t>
      </w:r>
    </w:p>
    <w:p>
      <w:pPr>
        <w:pStyle w:val="FirstParagraph"/>
      </w:pPr>
      <w:r>
        <w:t xml:space="preserve">A story about building a car as though it came from the 1930s, with a very long hood.</w:t>
      </w:r>
    </w:p>
    <w:p>
      <w:pPr>
        <w:pStyle w:val="BodyText"/>
      </w:pPr>
      <w:r>
        <w:t xml:space="preserve">Translation work for this chapter begins here.</w:t>
      </w:r>
    </w:p>
    <w:bookmarkEnd w:id="21"/>
    <w:bookmarkStart w:id="24" w:name="general-information"/>
    <w:p>
      <w:pPr>
        <w:pStyle w:val="Heading1"/>
      </w:pPr>
      <w:r>
        <w:t xml:space="preserve">2 General Information</w:t>
      </w:r>
    </w:p>
    <w:p>
      <w:pPr>
        <w:pStyle w:val="FirstParagraph"/>
      </w:pPr>
      <w:r>
        <w:t xml:space="preserve">Translation work for the general information chapter begins here.</w:t>
      </w:r>
    </w:p>
    <w:bookmarkStart w:id="22" w:name="herkules-1934---specification"/>
    <w:p>
      <w:pPr>
        <w:pStyle w:val="Heading2"/>
      </w:pPr>
      <w:r>
        <w:t xml:space="preserve">2.1 HERKULES 1934 - Specification</w:t>
      </w:r>
    </w:p>
    <w:p>
      <w:pPr>
        <w:pStyle w:val="FirstParagraph"/>
      </w:pPr>
      <w:r>
        <w:t xml:space="preserve">Specification table to be translated and normalized.</w:t>
      </w:r>
    </w:p>
    <w:bookmarkEnd w:id="22"/>
    <w:bookmarkStart w:id="23" w:name="repair---knowledge-level"/>
    <w:p>
      <w:pPr>
        <w:pStyle w:val="Heading2"/>
      </w:pPr>
      <w:r>
        <w:t xml:space="preserve">2.2 Repair - Knowledge Level</w:t>
      </w:r>
    </w:p>
    <w:p>
      <w:pPr>
        <w:pStyle w:val="FirstParagraph"/>
      </w:pPr>
      <w:r>
        <w:t xml:space="preserve">Workshop competence assumptions to be translated.</w:t>
      </w:r>
    </w:p>
    <w:bookmarkEnd w:id="23"/>
    <w:bookmarkEnd w:id="24"/>
    <w:bookmarkStart w:id="27" w:name="engine-power-and-torque"/>
    <w:p>
      <w:pPr>
        <w:pStyle w:val="Heading1"/>
      </w:pPr>
      <w:r>
        <w:t xml:space="preserve">3 Engine Power and Torque</w:t>
      </w:r>
    </w:p>
    <w:p>
      <w:pPr>
        <w:pStyle w:val="FirstParagraph"/>
      </w:pPr>
      <w:r>
        <w:t xml:space="preserve">Translation work for the power and torque chapter begins here.</w:t>
      </w:r>
    </w:p>
    <w:bookmarkStart w:id="25" w:name="power-curves"/>
    <w:p>
      <w:pPr>
        <w:pStyle w:val="Heading2"/>
      </w:pPr>
      <w:r>
        <w:t xml:space="preserve">3.1 Power Curves</w:t>
      </w:r>
    </w:p>
    <w:p>
      <w:pPr>
        <w:pStyle w:val="FirstParagraph"/>
      </w:pPr>
      <w:r>
        <w:t xml:space="preserve">Source curves and Volvo reference material to be handled here.</w:t>
      </w:r>
    </w:p>
    <w:bookmarkEnd w:id="25"/>
    <w:bookmarkStart w:id="26" w:name="herkules-1934---power"/>
    <w:p>
      <w:pPr>
        <w:pStyle w:val="Heading2"/>
      </w:pPr>
      <w:r>
        <w:t xml:space="preserve">3.2 HERKULES 1934 - Power</w:t>
      </w:r>
    </w:p>
    <w:p>
      <w:pPr>
        <w:pStyle w:val="FirstParagraph"/>
      </w:pPr>
      <w:r>
        <w:t xml:space="preserve">Power and torque estimates to be translated and checked.</w:t>
      </w:r>
    </w:p>
    <w:bookmarkEnd w:id="26"/>
    <w:bookmarkEnd w:id="27"/>
    <w:bookmarkStart w:id="29" w:name="bottom-frame---sump-and-structure"/>
    <w:p>
      <w:pPr>
        <w:pStyle w:val="Heading1"/>
      </w:pPr>
      <w:r>
        <w:t xml:space="preserve">4 Bottom Frame - Sump and Structure</w:t>
      </w:r>
    </w:p>
    <w:p>
      <w:pPr>
        <w:pStyle w:val="FirstParagraph"/>
      </w:pPr>
      <w:r>
        <w:t xml:space="preserve">Translation work for the fabricated lower structure begins here.</w:t>
      </w:r>
    </w:p>
    <w:bookmarkStart w:id="28" w:name="welded-sump---structure"/>
    <w:p>
      <w:pPr>
        <w:pStyle w:val="Heading2"/>
      </w:pPr>
      <w:r>
        <w:t xml:space="preserve">4.1 Welded Sump - Structure</w:t>
      </w:r>
    </w:p>
    <w:p>
      <w:pPr>
        <w:pStyle w:val="FirstParagraph"/>
      </w:pPr>
      <w:r>
        <w:t xml:space="preserve">Fabrication notes, material notes, and machining references go here.</w:t>
      </w:r>
    </w:p>
    <w:bookmarkEnd w:id="28"/>
    <w:bookmarkEnd w:id="29"/>
    <w:bookmarkStart w:id="32" w:name="engine-components"/>
    <w:p>
      <w:pPr>
        <w:pStyle w:val="Heading1"/>
      </w:pPr>
      <w:r>
        <w:t xml:space="preserve">5 Engine Components</w:t>
      </w:r>
    </w:p>
    <w:p>
      <w:pPr>
        <w:pStyle w:val="FirstParagraph"/>
      </w:pPr>
      <w:r>
        <w:t xml:space="preserve">Translation work for the engine components chapter begins here.</w:t>
      </w:r>
    </w:p>
    <w:bookmarkStart w:id="30" w:name="volvo-b20-engine-block---information"/>
    <w:p>
      <w:pPr>
        <w:pStyle w:val="Heading2"/>
      </w:pPr>
      <w:r>
        <w:t xml:space="preserve">5.1 Volvo B20 Engine Block - Information</w:t>
      </w:r>
    </w:p>
    <w:p>
      <w:pPr>
        <w:pStyle w:val="FirstParagraph"/>
      </w:pPr>
      <w:r>
        <w:t xml:space="preserve">B20 source engine notes go here.</w:t>
      </w:r>
    </w:p>
    <w:bookmarkEnd w:id="30"/>
    <w:bookmarkStart w:id="31" w:name="herkules-1934-engine-block---information"/>
    <w:p>
      <w:pPr>
        <w:pStyle w:val="Heading2"/>
      </w:pPr>
      <w:r>
        <w:t xml:space="preserve">5.2 HERKULES 1934 Engine Block - Information</w:t>
      </w:r>
    </w:p>
    <w:p>
      <w:pPr>
        <w:pStyle w:val="FirstParagraph"/>
      </w:pPr>
      <w:r>
        <w:t xml:space="preserve">Herkules-specific block machining and assembly notes go here.</w:t>
      </w:r>
    </w:p>
    <w:bookmarkEnd w:id="31"/>
    <w:bookmarkEnd w:id="32"/>
    <w:bookmarkStart w:id="33" w:name="cylinder-head-and-valve-gear"/>
    <w:p>
      <w:pPr>
        <w:pStyle w:val="Heading1"/>
      </w:pPr>
      <w:r>
        <w:t xml:space="preserve">6 Cylinder Head and Valve Gear</w:t>
      </w:r>
    </w:p>
    <w:p>
      <w:pPr>
        <w:pStyle w:val="FirstParagraph"/>
      </w:pPr>
      <w:r>
        <w:t xml:space="preserve">Translation work for cylinder head, valve gear, valve adjustment, valve guides, and related service procedures begins here.</w:t>
      </w:r>
    </w:p>
    <w:p>
      <w:pPr>
        <w:pStyle w:val="BodyText"/>
      </w:pPr>
      <w:r>
        <w:t xml:space="preserve">This chapter may later be split if the source structure requires it.</w:t>
      </w:r>
    </w:p>
    <w:bookmarkEnd w:id="33"/>
    <w:bookmarkStart w:id="34" w:name="rotating-assembly"/>
    <w:p>
      <w:pPr>
        <w:pStyle w:val="Heading1"/>
      </w:pPr>
      <w:r>
        <w:t xml:space="preserve">7 Rotating Assembly</w:t>
      </w:r>
    </w:p>
    <w:p>
      <w:pPr>
        <w:pStyle w:val="FirstParagraph"/>
      </w:pPr>
      <w:r>
        <w:t xml:space="preserve">Translation work for crankshaft, connecting rods, pistons, bearings, flywheel, and balance-related material begins here.</w:t>
      </w:r>
    </w:p>
    <w:bookmarkEnd w:id="34"/>
    <w:bookmarkStart w:id="35" w:name="lubrication-system"/>
    <w:p>
      <w:pPr>
        <w:pStyle w:val="Heading1"/>
      </w:pPr>
      <w:r>
        <w:t xml:space="preserve">8 Lubrication System</w:t>
      </w:r>
    </w:p>
    <w:p>
      <w:pPr>
        <w:pStyle w:val="FirstParagraph"/>
      </w:pPr>
      <w:r>
        <w:t xml:space="preserve">Translation work for oil galleries, pump, sump passages, filters, pressure, capacity, and service notes begins here.</w:t>
      </w:r>
    </w:p>
    <w:bookmarkEnd w:id="35"/>
    <w:bookmarkStart w:id="36" w:name="cooling-system"/>
    <w:p>
      <w:pPr>
        <w:pStyle w:val="Heading1"/>
      </w:pPr>
      <w:r>
        <w:t xml:space="preserve">9 Cooling System</w:t>
      </w:r>
    </w:p>
    <w:p>
      <w:pPr>
        <w:pStyle w:val="FirstParagraph"/>
      </w:pPr>
      <w:r>
        <w:t xml:space="preserve">Translation work for coolant passages, water pumps, manifolds, thermostats, hoses, and temperature control begins here.</w:t>
      </w:r>
    </w:p>
    <w:bookmarkEnd w:id="36"/>
    <w:bookmarkStart w:id="37" w:name="fuel-and-intake-system"/>
    <w:p>
      <w:pPr>
        <w:pStyle w:val="Heading1"/>
      </w:pPr>
      <w:r>
        <w:t xml:space="preserve">10 Fuel and Intake System</w:t>
      </w:r>
    </w:p>
    <w:p>
      <w:pPr>
        <w:pStyle w:val="FirstParagraph"/>
      </w:pPr>
      <w:r>
        <w:t xml:space="preserve">Translation work for fuel delivery, carburetors, intake manifolds, linkage, and tuning notes begins here.</w:t>
      </w:r>
    </w:p>
    <w:bookmarkEnd w:id="37"/>
    <w:bookmarkStart w:id="38" w:name="ignition-system"/>
    <w:p>
      <w:pPr>
        <w:pStyle w:val="Heading1"/>
      </w:pPr>
      <w:r>
        <w:t xml:space="preserve">11 Ignition System</w:t>
      </w:r>
    </w:p>
    <w:p>
      <w:pPr>
        <w:pStyle w:val="FirstParagraph"/>
      </w:pPr>
      <w:r>
        <w:t xml:space="preserve">Translation work for distributors, ignition timing, spark plugs, firing order, wiring, and related settings begins here.</w:t>
      </w:r>
    </w:p>
    <w:bookmarkEnd w:id="38"/>
    <w:bookmarkStart w:id="39" w:name="exhaust-system"/>
    <w:p>
      <w:pPr>
        <w:pStyle w:val="Heading1"/>
      </w:pPr>
      <w:r>
        <w:t xml:space="preserve">12 Exhaust System</w:t>
      </w:r>
    </w:p>
    <w:p>
      <w:pPr>
        <w:pStyle w:val="FirstParagraph"/>
      </w:pPr>
      <w:r>
        <w:t xml:space="preserve">Translation work for exhaust manifolds, pipes, sealing, mounting, and service notes begins here.</w:t>
      </w:r>
    </w:p>
    <w:bookmarkEnd w:id="39"/>
    <w:bookmarkStart w:id="40" w:name="electrical-system"/>
    <w:p>
      <w:pPr>
        <w:pStyle w:val="Heading1"/>
      </w:pPr>
      <w:r>
        <w:t xml:space="preserve">13 Electrical System</w:t>
      </w:r>
    </w:p>
    <w:p>
      <w:pPr>
        <w:pStyle w:val="FirstParagraph"/>
      </w:pPr>
      <w:r>
        <w:t xml:space="preserve">Translation work for charging, starting, wiring, instruments, switches, and electrical service notes begins here.</w:t>
      </w:r>
    </w:p>
    <w:bookmarkEnd w:id="40"/>
    <w:bookmarkStart w:id="41" w:name="starting-and-charging"/>
    <w:p>
      <w:pPr>
        <w:pStyle w:val="Heading1"/>
      </w:pPr>
      <w:r>
        <w:t xml:space="preserve">14 Starting and Charging</w:t>
      </w:r>
    </w:p>
    <w:p>
      <w:pPr>
        <w:pStyle w:val="FirstParagraph"/>
      </w:pPr>
      <w:r>
        <w:t xml:space="preserve">Translation work for starter motors, generator or alternator equipment, belts, pulleys, and related checks begins here.</w:t>
      </w:r>
    </w:p>
    <w:bookmarkEnd w:id="41"/>
    <w:bookmarkStart w:id="42" w:name="clutch-and-flywheel"/>
    <w:p>
      <w:pPr>
        <w:pStyle w:val="Heading1"/>
      </w:pPr>
      <w:r>
        <w:t xml:space="preserve">15 Clutch and Flywheel</w:t>
      </w:r>
    </w:p>
    <w:p>
      <w:pPr>
        <w:pStyle w:val="FirstParagraph"/>
      </w:pPr>
      <w:r>
        <w:t xml:space="preserve">Translation work for clutch, pressure plate, flywheel, pilot bearing, fasteners, and alignment notes begins here.</w:t>
      </w:r>
    </w:p>
    <w:bookmarkEnd w:id="42"/>
    <w:bookmarkStart w:id="43" w:name="assembly-procedures"/>
    <w:p>
      <w:pPr>
        <w:pStyle w:val="Heading1"/>
      </w:pPr>
      <w:r>
        <w:t xml:space="preserve">16 Assembly Procedures</w:t>
      </w:r>
    </w:p>
    <w:p>
      <w:pPr>
        <w:pStyle w:val="FirstParagraph"/>
      </w:pPr>
      <w:r>
        <w:t xml:space="preserve">Translation work for assembly order, inspection points, tightening sequences, sealants, locking methods, and warnings begins here.</w:t>
      </w:r>
    </w:p>
    <w:bookmarkEnd w:id="43"/>
    <w:bookmarkStart w:id="44" w:name="service-and-maintenance"/>
    <w:p>
      <w:pPr>
        <w:pStyle w:val="Heading1"/>
      </w:pPr>
      <w:r>
        <w:t xml:space="preserve">17 Service and Maintenance</w:t>
      </w:r>
    </w:p>
    <w:p>
      <w:pPr>
        <w:pStyle w:val="FirstParagraph"/>
      </w:pPr>
      <w:r>
        <w:t xml:space="preserve">Translation work for maintenance intervals, adjustments, checks, fluids, and recurring service procedures begins here.</w:t>
      </w:r>
    </w:p>
    <w:bookmarkEnd w:id="44"/>
    <w:bookmarkStart w:id="45" w:name="troubleshooting"/>
    <w:p>
      <w:pPr>
        <w:pStyle w:val="Heading1"/>
      </w:pPr>
      <w:r>
        <w:t xml:space="preserve">18 Troubleshooting</w:t>
      </w:r>
    </w:p>
    <w:p>
      <w:pPr>
        <w:pStyle w:val="FirstParagraph"/>
      </w:pPr>
      <w:r>
        <w:t xml:space="preserve">Translation work for fault diagnosis, symptoms, checks, and corrective actions begins here.</w:t>
      </w:r>
    </w:p>
    <w:bookmarkEnd w:id="45"/>
    <w:bookmarkStart w:id="46" w:name="appendices"/>
    <w:p>
      <w:pPr>
        <w:pStyle w:val="Heading1"/>
      </w:pPr>
      <w:r>
        <w:t xml:space="preserve">19 Appendices</w:t>
      </w:r>
    </w:p>
    <w:p>
      <w:pPr>
        <w:pStyle w:val="FirstParagraph"/>
      </w:pPr>
      <w:r>
        <w:t xml:space="preserve">Appendices for unit conversions, terminology, references, tables, and editorial notes begin here.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HERKULES 1934 English Technical Edition</dc:title>
  <dc:creator/>
  <cp:keywords/>
  <dcterms:created xsi:type="dcterms:W3CDTF">2026-07-04T01:54:39Z</dcterms:created>
  <dcterms:modified xsi:type="dcterms:W3CDTF">2026-07-04T01:54:39Z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">
    <vt:lpwstr>en-US</vt:lpwstr>
  </property>
  <property fmtid="{D5CDD505-2E9C-101B-9397-08002B2CF9AE}" pid="3" name="subtitle">
    <vt:lpwstr>Workshop Manual Translation and Reference Edition</vt:lpwstr>
  </property>
</Properties>
</file>