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Insights/needs chart/document (i.e. example, what,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Insight (Why)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Interactive/engaging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method (PDF) is too long and not easily digestible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filter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 provide only desired info, increases relatability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Visuals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 understanding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Colouring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 that the site is still a part of the SSCF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by what area needs the most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for those areas to be prioritised and potentially get the help they need first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for community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collaboration to increase relatability and empathy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update more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 change frequently and donors want to see the progress/needs of each of the emergent needs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local work contributes to UN Goals.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 impact level and how charities are setting priorities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“Call to action” statement, state the need for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people feel like they should help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COUPLE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