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lineRule="auto"/>
        <w:rPr/>
      </w:pPr>
      <w:bookmarkStart w:colFirst="0" w:colLast="0" w:name="_sis6ydb7m2c" w:id="0"/>
      <w:bookmarkEnd w:id="0"/>
      <w:r w:rsidDel="00000000" w:rsidR="00000000" w:rsidRPr="00000000">
        <w:rPr>
          <w:rtl w:val="0"/>
        </w:rPr>
        <w:t xml:space="preserve">Институт молекулярной генетики РАН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bookmarkStart w:colFirst="0" w:colLast="0" w:name="_9k2i8wbidslg" w:id="1"/>
      <w:bookmarkEnd w:id="1"/>
      <w:r w:rsidDel="00000000" w:rsidR="00000000" w:rsidRPr="00000000">
        <w:rPr>
          <w:rtl w:val="0"/>
        </w:rPr>
        <w:t xml:space="preserve">Отдел молекулярных основ генетики человека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faayeu32rq9" w:id="2"/>
      <w:bookmarkEnd w:id="2"/>
      <w:r w:rsidDel="00000000" w:rsidR="00000000" w:rsidRPr="00000000">
        <w:rPr>
          <w:rtl w:val="0"/>
        </w:rPr>
        <w:t xml:space="preserve">Список тем студенческих работ </w:t>
      </w:r>
    </w:p>
    <w:p w:rsidR="00000000" w:rsidDel="00000000" w:rsidP="00000000" w:rsidRDefault="00000000" w:rsidRPr="00000000" w14:paraId="00000004">
      <w:pPr>
        <w:ind w:right="-567"/>
        <w:rPr/>
      </w:pPr>
      <w:r w:rsidDel="00000000" w:rsidR="00000000" w:rsidRPr="00000000">
        <w:rPr>
          <w:rtl w:val="0"/>
        </w:rPr>
        <w:t xml:space="preserve">Предложенные ниже темы объединены общей научной задачей — выявления факторов риска возникновения ишемического инсульта головного мозга. Данный медицинский синдром  проявляется в нарушении кровоснабжения отделов головного мозга в результате закупорки сосудов. Недостаточное кровоснабжение провоцирует нарушение функций клеток с последующим их отмиранием. </w:t>
      </w:r>
    </w:p>
    <w:p w:rsidR="00000000" w:rsidDel="00000000" w:rsidP="00000000" w:rsidRDefault="00000000" w:rsidRPr="00000000" w14:paraId="00000005">
      <w:pPr>
        <w:ind w:right="-567"/>
        <w:rPr/>
      </w:pPr>
      <w:r w:rsidDel="00000000" w:rsidR="00000000" w:rsidRPr="00000000">
        <w:rPr>
          <w:rtl w:val="0"/>
        </w:rPr>
        <w:t xml:space="preserve">Ишемический инсульт (ИМ) является второй причиной смертности в Мире. Люди, пережившие инсульт становятся инвалидами, что приводит к социальным и экономическим последствиям. Уточнение существующих и выявление новых факторов риска позволит улучшить профилактику ишемического инсульта. Весомым результатом исследований является возможность сформировать рекомендации по профилактике рассматриваемого синдрома.   </w:t>
      </w:r>
    </w:p>
    <w:p w:rsidR="00000000" w:rsidDel="00000000" w:rsidP="00000000" w:rsidRDefault="00000000" w:rsidRPr="00000000" w14:paraId="00000006">
      <w:pPr>
        <w:ind w:right="-567"/>
        <w:rPr/>
      </w:pPr>
      <w:r w:rsidDel="00000000" w:rsidR="00000000" w:rsidRPr="00000000">
        <w:rPr>
          <w:rtl w:val="0"/>
        </w:rPr>
        <w:t xml:space="preserve">Факторы риска разделяют на изменяемые (воздействие среды обитания, образ жизни) и неизменяемые (пол, возраст, строение ДНК). Представленные ниже темы направлены на выявление факторов риска, обусловленных особенностями строения ДНК, а также клинико-биохимическими показателями.  </w:t>
      </w:r>
    </w:p>
    <w:p w:rsidR="00000000" w:rsidDel="00000000" w:rsidP="00000000" w:rsidRDefault="00000000" w:rsidRPr="00000000" w14:paraId="00000007">
      <w:pPr>
        <w:ind w:right="-567"/>
        <w:rPr/>
      </w:pPr>
      <w:r w:rsidDel="00000000" w:rsidR="00000000" w:rsidRPr="00000000">
        <w:rPr>
          <w:rtl w:val="0"/>
        </w:rPr>
        <w:t xml:space="preserve">Представленные ниже темы могут быть предложены студентам, специализирующимся в области компьютерных наук. Содержание тем, а также указанных в них сведений, является предварительным. Они могут быть скорректированы в ходе обсуждения с участниками исследований и дальнейшей проработки.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se2lica0tfw" w:id="3"/>
      <w:bookmarkEnd w:id="3"/>
      <w:r w:rsidDel="00000000" w:rsidR="00000000" w:rsidRPr="00000000">
        <w:rPr>
          <w:rtl w:val="0"/>
        </w:rPr>
        <w:t xml:space="preserve">Тема 1. Построение прогнозной модели с целью предсказания возникновения ишемического инсульта.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Дано: результаты генотипирования порядка 1000 больных ИМ и 1000 здоровых людей.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Требуется: выяснить возможность построения прогнозной модели с целью предсказания возникновения ИМ.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Данные генотипирования могут быть формализованы в виде объектно-признаковой матрицы, заполненной целочисленными значениями {0, 1, 2}. Они кодирую один из трех генотипов, возможных для данного признака. Размер матрицы 2000 x 80000.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Доступны также такие признаки как пол и возраст людей.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Целевая переменная: больной/здоров.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Ожидается что генотипические признаки будут ранжированы по вкладу в целевую переменную. Поскольку известно положение признака на ДНК, то можно строить рассуждения относительно влияния признака на организм человека.  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Примеры из литературы. Используя методы машинного обучения, Kang MJ et al. (2019) построили прогнозные модели для предсказания размера ореха у каштанов (большой/маленький).  Число генотипических признаков - 21. В обучающей выборке 42, в тестовой - 46 образцов.   </w:t>
      </w:r>
    </w:p>
    <w:p w:rsidR="00000000" w:rsidDel="00000000" w:rsidP="00000000" w:rsidRDefault="00000000" w:rsidRPr="00000000" w14:paraId="00000010">
      <w:pPr>
        <w:pStyle w:val="Heading2"/>
        <w:ind w:right="-567"/>
        <w:rPr/>
      </w:pPr>
      <w:bookmarkStart w:colFirst="0" w:colLast="0" w:name="_3zhlaej5bmnl" w:id="4"/>
      <w:bookmarkEnd w:id="4"/>
      <w:r w:rsidDel="00000000" w:rsidR="00000000" w:rsidRPr="00000000">
        <w:rPr>
          <w:rtl w:val="0"/>
        </w:rPr>
        <w:t xml:space="preserve">Тема 2. Импутация генотипов </w:t>
      </w:r>
    </w:p>
    <w:p w:rsidR="00000000" w:rsidDel="00000000" w:rsidP="00000000" w:rsidRDefault="00000000" w:rsidRPr="00000000" w14:paraId="00000011">
      <w:pPr>
        <w:ind w:right="-567"/>
        <w:rPr/>
      </w:pPr>
      <w:r w:rsidDel="00000000" w:rsidR="00000000" w:rsidRPr="00000000">
        <w:rPr>
          <w:rtl w:val="0"/>
        </w:rPr>
        <w:t xml:space="preserve">Дано: 2-3 набора данных с разным числом генотипических признаков, например, 300K и 600K. Количество строчек в таблице 100 и 50, соответственно. Множества признаков плохо пересекаются между собой. Дан также референсный набор данных с числом признаков до 1M и числом строк до 1000. </w:t>
      </w:r>
    </w:p>
    <w:p w:rsidR="00000000" w:rsidDel="00000000" w:rsidP="00000000" w:rsidRDefault="00000000" w:rsidRPr="00000000" w14:paraId="00000012">
      <w:pPr>
        <w:ind w:right="-567"/>
        <w:rPr/>
      </w:pPr>
      <w:r w:rsidDel="00000000" w:rsidR="00000000" w:rsidRPr="00000000">
        <w:rPr>
          <w:rtl w:val="0"/>
        </w:rPr>
        <w:t xml:space="preserve">Требуется:  Повысить перекрываемость признаков при объединении изучаемых наборов данных. Для этого предлагается восстановить пропущенные признаки в изучаемых наборах данных, используя референсный массив генотипов. </w:t>
      </w:r>
    </w:p>
    <w:p w:rsidR="00000000" w:rsidDel="00000000" w:rsidP="00000000" w:rsidRDefault="00000000" w:rsidRPr="00000000" w14:paraId="00000013">
      <w:pPr>
        <w:pStyle w:val="Heading2"/>
        <w:ind w:right="-567"/>
        <w:rPr/>
      </w:pPr>
      <w:bookmarkStart w:colFirst="0" w:colLast="0" w:name="_1438q3obyle3" w:id="5"/>
      <w:bookmarkEnd w:id="5"/>
      <w:r w:rsidDel="00000000" w:rsidR="00000000" w:rsidRPr="00000000">
        <w:rPr>
          <w:rtl w:val="0"/>
        </w:rPr>
        <w:t xml:space="preserve">Тема 3. Выявление генетических факторов риска возникновения ишемического инсульта</w:t>
      </w:r>
    </w:p>
    <w:p w:rsidR="00000000" w:rsidDel="00000000" w:rsidP="00000000" w:rsidRDefault="00000000" w:rsidRPr="00000000" w14:paraId="00000014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Традиционный подход к выявлению участков генома, ассоциированных с заболеванием, — проведение </w:t>
      </w:r>
      <w:r w:rsidDel="00000000" w:rsidR="00000000" w:rsidRPr="00000000">
        <w:rPr>
          <w:color w:val="000000"/>
          <w:shd w:fill="auto" w:val="clear"/>
          <w:rtl w:val="0"/>
        </w:rPr>
        <w:t xml:space="preserve">полногеномного поиска ассоциаций (GWAS). В анализе обычно рассматривают три типа признаков (геномных маркеров):  </w:t>
      </w:r>
    </w:p>
    <w:p w:rsidR="00000000" w:rsidDel="00000000" w:rsidP="00000000" w:rsidRDefault="00000000" w:rsidRPr="00000000" w14:paraId="00000015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1. Однонуклеотидный полиморфизм (SNP).</w:t>
      </w:r>
    </w:p>
    <w:p w:rsidR="00000000" w:rsidDel="00000000" w:rsidP="00000000" w:rsidRDefault="00000000" w:rsidRPr="00000000" w14:paraId="00000016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2. Гаплотип (комбинация SNP, наследуемых вместе). </w:t>
      </w:r>
    </w:p>
    <w:p w:rsidR="00000000" w:rsidDel="00000000" w:rsidP="00000000" w:rsidRDefault="00000000" w:rsidRPr="00000000" w14:paraId="00000017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3. Кластеры из гаплотипов. </w:t>
      </w:r>
    </w:p>
    <w:p w:rsidR="00000000" w:rsidDel="00000000" w:rsidP="00000000" w:rsidRDefault="00000000" w:rsidRPr="00000000" w14:paraId="00000018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Комбинации SNP можно определять с помощью методов машинного обучения (С. </w:t>
      </w:r>
      <w:r w:rsidDel="00000000" w:rsidR="00000000" w:rsidRPr="00000000">
        <w:rPr>
          <w:rtl w:val="0"/>
        </w:rPr>
        <w:t xml:space="preserve">Sinoquet, 2018</w:t>
      </w:r>
      <w:r w:rsidDel="00000000" w:rsidR="00000000" w:rsidRPr="00000000">
        <w:rPr>
          <w:color w:val="000000"/>
          <w:shd w:fill="auto" w:val="clear"/>
          <w:rtl w:val="0"/>
        </w:rPr>
        <w:t xml:space="preserve">). </w:t>
      </w:r>
    </w:p>
    <w:p w:rsidR="00000000" w:rsidDel="00000000" w:rsidP="00000000" w:rsidRDefault="00000000" w:rsidRPr="00000000" w14:paraId="00000019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Требуется: Выяснить возможность применения методов машинного обучения для определения групп из SNP, а также провести GWAS с использованием данного геномного маркера.    </w:t>
      </w:r>
    </w:p>
    <w:p w:rsidR="00000000" w:rsidDel="00000000" w:rsidP="00000000" w:rsidRDefault="00000000" w:rsidRPr="00000000" w14:paraId="0000001A">
      <w:pPr>
        <w:pStyle w:val="Heading2"/>
        <w:ind w:right="-567"/>
        <w:rPr/>
      </w:pPr>
      <w:bookmarkStart w:colFirst="0" w:colLast="0" w:name="_lw90bac9vnlz" w:id="6"/>
      <w:bookmarkEnd w:id="6"/>
      <w:r w:rsidDel="00000000" w:rsidR="00000000" w:rsidRPr="00000000">
        <w:rPr>
          <w:rtl w:val="0"/>
        </w:rPr>
        <w:t xml:space="preserve">Тема 4. Прогнозировании исхода ишемического инсульта на основании клинико-биохимических показателей и полиморфизма генома больных инсультом.</w:t>
      </w:r>
    </w:p>
    <w:p w:rsidR="00000000" w:rsidDel="00000000" w:rsidP="00000000" w:rsidRDefault="00000000" w:rsidRPr="00000000" w14:paraId="0000001B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Задача 1. Провести описательный анализ клинико-биохимических показателей больных с ишемическим инсультом с целью выявления типа переменных, полноты представленности данных, вариации значений, а также показателей, которые коррелируют между собой. Предложить способ нормирования значений. Анализ поможет определить множество переменных для решения задач, представленных далее. </w:t>
      </w:r>
    </w:p>
    <w:p w:rsidR="00000000" w:rsidDel="00000000" w:rsidP="00000000" w:rsidRDefault="00000000" w:rsidRPr="00000000" w14:paraId="0000001C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Задача 2. Применяя методы машинного обучения, выполнить кластерный анализ клинико-биохимических показателей больных с ишемическим инсультом. Его цель — выяснить есть ли среди больных людей группы, чьи характеристики больше похожи между собой, чем между группами. Предложить различные меры сходства людей в группе, а также обоснование для выбора числа групп. Рассмотреть как иерархические, так и неиерархические модели кластеризации, как с четкими границами кластеров (один объект — один кластер), так и размытыми (один объект — много кластеров). Выполнить двумерное шкалирование.  </w:t>
      </w:r>
    </w:p>
    <w:p w:rsidR="00000000" w:rsidDel="00000000" w:rsidP="00000000" w:rsidRDefault="00000000" w:rsidRPr="00000000" w14:paraId="0000001D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Ожидаемые результаты кластерного анализа: </w:t>
      </w:r>
    </w:p>
    <w:p w:rsidR="00000000" w:rsidDel="00000000" w:rsidP="00000000" w:rsidRDefault="00000000" w:rsidRPr="00000000" w14:paraId="0000001E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1. Понимание внутренней структуры данных</w:t>
      </w:r>
    </w:p>
    <w:p w:rsidR="00000000" w:rsidDel="00000000" w:rsidP="00000000" w:rsidRDefault="00000000" w:rsidRPr="00000000" w14:paraId="0000001F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2. Возможность восстановления пропущенных значений клинико-биохимических показателей</w:t>
      </w:r>
    </w:p>
    <w:p w:rsidR="00000000" w:rsidDel="00000000" w:rsidP="00000000" w:rsidRDefault="00000000" w:rsidRPr="00000000" w14:paraId="00000020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3. Выявление типичного и нетипичного больного ишемическим инсультом. Нетипичный случай является выбросом и возможно этого больного нужно исключить из анализа.  </w:t>
      </w:r>
    </w:p>
    <w:p w:rsidR="00000000" w:rsidDel="00000000" w:rsidP="00000000" w:rsidRDefault="00000000" w:rsidRPr="00000000" w14:paraId="00000021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Задача 3. Используя различные алгоритмы и методы машинного обучения, построить прогнозные модели, с целью предсказания развития, а также исхода ишемического инсульта.  </w:t>
      </w:r>
    </w:p>
    <w:p w:rsidR="00000000" w:rsidDel="00000000" w:rsidP="00000000" w:rsidRDefault="00000000" w:rsidRPr="00000000" w14:paraId="00000022">
      <w:pPr>
        <w:ind w:right="-567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В зависимости от задачи в качестве источника данных использовать базу данных больных с ишемическим инсультом, доступную в ОМОГЧ ИМГ РАН, а также данные генотипирования больных с ишемическим инсультом и здоровых людей.  </w:t>
      </w:r>
    </w:p>
    <w:p w:rsidR="00000000" w:rsidDel="00000000" w:rsidP="00000000" w:rsidRDefault="00000000" w:rsidRPr="00000000" w14:paraId="00000023">
      <w:pPr>
        <w:pStyle w:val="Heading2"/>
        <w:ind w:right="-567"/>
        <w:rPr/>
      </w:pPr>
      <w:bookmarkStart w:colFirst="0" w:colLast="0" w:name="_4ajefjzdseun" w:id="7"/>
      <w:bookmarkEnd w:id="7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24">
      <w:pPr>
        <w:ind w:right="-567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Предлагается использовать данные генотипов больных с ишемическим инсультом и здоровых людей, а также базу данных с фенотипами (пол, возраст), доступную в ОМОГЧ ИМГ РАН. </w:t>
      </w:r>
    </w:p>
    <w:p w:rsidR="00000000" w:rsidDel="00000000" w:rsidP="00000000" w:rsidRDefault="00000000" w:rsidRPr="00000000" w14:paraId="00000025">
      <w:pPr>
        <w:ind w:right="-567"/>
        <w:rPr/>
      </w:pPr>
      <w:r w:rsidDel="00000000" w:rsidR="00000000" w:rsidRPr="00000000">
        <w:rPr>
          <w:color w:val="000000"/>
          <w:shd w:fill="auto" w:val="clear"/>
          <w:rtl w:val="0"/>
        </w:rPr>
        <w:t xml:space="preserve">Прорабатывается также возможность использования данных из открытых источников, например, базы данных генотипов и фенотипов dbGaP (</w:t>
      </w:r>
      <w:hyperlink r:id="rId6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https://www.ncbi.nlm.nih.gov/gap</w:t>
        </w:r>
      </w:hyperlink>
      <w:r w:rsidDel="00000000" w:rsidR="00000000" w:rsidRPr="00000000">
        <w:rPr>
          <w:color w:val="000000"/>
          <w:shd w:fill="auto" w:val="clear"/>
          <w:rtl w:val="0"/>
        </w:rPr>
        <w:t xml:space="preserve">).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right="-567"/>
        <w:rPr/>
      </w:pPr>
      <w:bookmarkStart w:colFirst="0" w:colLast="0" w:name="_kp8209tos0zt" w:id="8"/>
      <w:bookmarkEnd w:id="8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Christine Sinoquet, A method combining a random forest-based technique with the modeling of linkage disequilibrium through latent variables, to run multilocus genome-wide association studies. BMC Bioinformatics, 19:106, 2018.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https://rdcu.be/bxq5z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Kang MJ, Shin AY, et al. Identification of transcriptome-wide, nut weight-associated SNPs in Castanea crenata. Sci Rep. 2019 Sep 11;9(1):13161.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https://www.ncbi.nlm.nih.gov/pubmed/31511588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8f8" w:val="clear"/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Vogel and Motulsky's, Human Genetics: Problems and Approaches.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Скачать pdf.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e16d5q87zbww" w:id="9"/>
      <w:bookmarkEnd w:id="9"/>
      <w:r w:rsidDel="00000000" w:rsidR="00000000" w:rsidRPr="00000000">
        <w:rPr>
          <w:rtl w:val="0"/>
        </w:rPr>
        <w:t xml:space="preserve">Сокращения</w:t>
      </w:r>
    </w:p>
    <w:p w:rsidR="00000000" w:rsidDel="00000000" w:rsidP="00000000" w:rsidRDefault="00000000" w:rsidRPr="00000000" w14:paraId="0000002C">
      <w:pPr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GWAS — Genome Wide Association Studies (полногеномный поиск ассоциаций).</w:t>
      </w:r>
    </w:p>
    <w:p w:rsidR="00000000" w:rsidDel="00000000" w:rsidP="00000000" w:rsidRDefault="00000000" w:rsidRPr="00000000" w14:paraId="0000002D">
      <w:pPr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QTL — Quantitative Trait Loci (участки количественных признаков)</w:t>
      </w:r>
    </w:p>
    <w:p w:rsidR="00000000" w:rsidDel="00000000" w:rsidP="00000000" w:rsidRDefault="00000000" w:rsidRPr="00000000" w14:paraId="0000002E">
      <w:pPr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SNP — Single Nucleotide Polymorphism (однонуклеотидный полиморфизм)</w:t>
      </w:r>
    </w:p>
    <w:p w:rsidR="00000000" w:rsidDel="00000000" w:rsidP="00000000" w:rsidRDefault="00000000" w:rsidRPr="00000000" w14:paraId="0000002F">
      <w:pPr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ОМОГЧ ИМГ РАН  — Отдел молекулярных основ генетики человека Института молекулярной генетики Российской академии наук</w:t>
      </w:r>
    </w:p>
    <w:p w:rsidR="00000000" w:rsidDel="00000000" w:rsidP="00000000" w:rsidRDefault="00000000" w:rsidRPr="00000000" w14:paraId="00000030">
      <w:pPr>
        <w:pStyle w:val="Heading3"/>
        <w:widowControl w:val="0"/>
        <w:spacing w:line="276" w:lineRule="auto"/>
        <w:rPr/>
      </w:pPr>
      <w:bookmarkStart w:colFirst="0" w:colLast="0" w:name="_8ztdx78jb2la" w:id="10"/>
      <w:bookmarkEnd w:id="10"/>
      <w:r w:rsidDel="00000000" w:rsidR="00000000" w:rsidRPr="00000000">
        <w:rPr>
          <w:rtl w:val="0"/>
        </w:rPr>
        <w:t xml:space="preserve">Контакты: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Геннадий Хворых, гл.специалист, моб. 8-910-4389309, khvorykh@img.ras.ru</w:t>
      </w:r>
    </w:p>
    <w:p w:rsidR="00000000" w:rsidDel="00000000" w:rsidP="00000000" w:rsidRDefault="00000000" w:rsidRPr="00000000" w14:paraId="00000032">
      <w:pPr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222222"/>
        <w:sz w:val="24"/>
        <w:szCs w:val="24"/>
        <w:highlight w:val="white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/>
    <w:rPr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adi.sk/i/N9Ye9OfRiYM9t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gap" TargetMode="External"/><Relationship Id="rId7" Type="http://schemas.openxmlformats.org/officeDocument/2006/relationships/hyperlink" Target="https://rdcu.be/bxq5z" TargetMode="External"/><Relationship Id="rId8" Type="http://schemas.openxmlformats.org/officeDocument/2006/relationships/hyperlink" Target="https://www.ncbi.nlm.nih.gov/pubmed/31511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