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pPr>
        <w:pStyle w:val="Heading2"/>
      </w:pPr>
      <w:r>
        <w:t>Toxicity Databases and Supporting Literature</w:t>
      </w:r>
    </w:p>
    <w:p>
      <w:pPr>
        <w:spacing w:after="120"/>
        <w:ind w:hanging="720" w:left="720"/>
      </w:pPr>
      <w:r>
        <w:rPr>
          <w:b w:val="0"/>
          <w:i w:val="0"/>
        </w:rPr>
        <w:t xml:space="preserve">Lewis, K. A., Tzilivakis, J., Warner, D., &amp; Green, A. (2016). An international database for pesticide risk assessments and management. </w:t>
      </w:r>
      <w:r>
        <w:rPr>
          <w:b w:val="0"/>
          <w:i/>
        </w:rPr>
        <w:t>Human and Ecological Risk Assessment: An International Journal, 22</w:t>
      </w:r>
      <w:r>
        <w:rPr>
          <w:b w:val="0"/>
          <w:i w:val="0"/>
        </w:rPr>
        <w:t xml:space="preserve">(4), 1050–1064. </w:t>
      </w:r>
      <w:r>
        <w:rPr>
          <w:b w:val="0"/>
          <w:i w:val="0"/>
        </w:rPr>
        <w:t>https://doi.org/10.1080/10807039.2015.1133242</w:t>
      </w:r>
    </w:p>
    <w:p>
      <w:pPr>
        <w:spacing w:after="200"/>
        <w:ind w:left="360"/>
      </w:pPr>
      <w:r>
        <w:rPr>
          <w:i/>
          <w:sz w:val="18"/>
        </w:rPr>
        <w:t>Primary citation for the Pesticide Properties DataBase (PPDB). Individual chemical records are listed in the accompanying CSV table.</w:t>
      </w:r>
    </w:p>
    <w:p>
      <w:pPr>
        <w:spacing w:after="120"/>
        <w:ind w:hanging="720" w:left="720"/>
      </w:pPr>
      <w:r>
        <w:rPr>
          <w:b w:val="0"/>
          <w:i w:val="0"/>
        </w:rPr>
        <w:t xml:space="preserve">University of Hertfordshire Agriculture and Environment Research Unit (AERU). (2016). </w:t>
      </w:r>
      <w:r>
        <w:rPr>
          <w:b w:val="0"/>
          <w:i/>
        </w:rPr>
        <w:t>Biopesticide Properties DataBase (BPDB)</w:t>
      </w:r>
      <w:r>
        <w:rPr>
          <w:b w:val="0"/>
          <w:i w:val="0"/>
        </w:rPr>
        <w:t xml:space="preserve"> [Database]. University of Hertfordshire, Hatfield, UK. Retrieved May 2026 from https://sitem.herts.ac.uk/aeru/bpdb/</w:t>
      </w:r>
    </w:p>
    <w:p>
      <w:pPr>
        <w:spacing w:after="200"/>
        <w:ind w:left="360"/>
      </w:pPr>
      <w:r>
        <w:rPr>
          <w:i/>
          <w:sz w:val="18"/>
        </w:rPr>
        <w:t>Used for spinosad (Record 596) — spinosad is not indexed in the PPDB.</w:t>
      </w:r>
    </w:p>
    <w:p>
      <w:pPr>
        <w:spacing w:after="120"/>
        <w:ind w:hanging="720" w:left="720"/>
      </w:pPr>
      <w:r>
        <w:rPr>
          <w:b w:val="0"/>
          <w:i w:val="0"/>
        </w:rPr>
        <w:t xml:space="preserve">U.S. Environmental Protection Agency (EPA). (2024). </w:t>
      </w:r>
      <w:r>
        <w:rPr>
          <w:b w:val="0"/>
          <w:i/>
        </w:rPr>
        <w:t>ECOTOXicology Knowledgebase (ECOTOX)</w:t>
      </w:r>
      <w:r>
        <w:rPr>
          <w:b w:val="0"/>
          <w:i w:val="0"/>
        </w:rPr>
        <w:t xml:space="preserve"> [Database]. National Center for Computational Toxicology, Research Triangle Park, NC. Retrieved May 2026 from https://cfpub.epa.gov/ecotox/</w:t>
      </w:r>
    </w:p>
    <w:p>
      <w:pPr>
        <w:spacing w:after="200"/>
        <w:ind w:left="360"/>
      </w:pPr>
      <w:r>
        <w:rPr>
          <w:i/>
          <w:sz w:val="18"/>
        </w:rPr>
        <w:t>Used for cross-check of beta-cyfluthrin avian acute oral LD50; supporting reference PMC3090753.</w:t>
      </w:r>
    </w:p>
    <w:p>
      <w:pPr>
        <w:spacing w:after="120"/>
        <w:ind w:hanging="720" w:left="720"/>
      </w:pPr>
      <w:r>
        <w:rPr>
          <w:b w:val="0"/>
          <w:i w:val="0"/>
        </w:rPr>
        <w:t xml:space="preserve">Australian Pesticides and Veterinary Medicines Authority (APVMA). (n.d.). </w:t>
      </w:r>
      <w:r>
        <w:rPr>
          <w:b w:val="0"/>
          <w:i/>
        </w:rPr>
        <w:t>Public release summary on the evaluation of the new active thiacloprid</w:t>
      </w:r>
      <w:r>
        <w:rPr>
          <w:b w:val="0"/>
          <w:i w:val="0"/>
        </w:rPr>
        <w:t xml:space="preserve"> [Regulatory document]. APVMA, Kingston, ACT. Retrieved May 2026 from https://www.apvma.gov.au/sites/default/files/publication/14066-prs-thiacloprid.pdf</w:t>
      </w:r>
    </w:p>
    <w:p>
      <w:pPr>
        <w:spacing w:after="200"/>
        <w:ind w:left="360"/>
      </w:pPr>
      <w:r>
        <w:rPr>
          <w:i/>
          <w:sz w:val="18"/>
        </w:rPr>
        <w:t>Used for thiacloprid avian acute oral LD50 (Northern Bobwhite, 2716 mg/kg, OECD up-and-down method, 95% CI 1,540–248,553 mg/kg). PPDB contains only a non-guideline canary contact value.</w:t>
      </w:r>
    </w:p>
    <w:p>
      <w:pPr>
        <w:spacing w:after="120"/>
        <w:ind w:hanging="720" w:left="720"/>
      </w:pPr>
      <w:r>
        <w:rPr>
          <w:b w:val="0"/>
          <w:i w:val="0"/>
        </w:rPr>
        <w:t xml:space="preserve">Norgaard, K. B., &amp; Cedergreen, N. (ca. 2010). [Full citation to be verified via PubMed PMID 26549316]. </w:t>
      </w:r>
      <w:r>
        <w:rPr>
          <w:b w:val="0"/>
          <w:i/>
        </w:rPr>
        <w:t>Environmental Toxicology and Chemistry.</w:t>
      </w:r>
    </w:p>
    <w:p>
      <w:pPr>
        <w:spacing w:after="200"/>
        <w:ind w:left="360"/>
      </w:pPr>
      <w:r>
        <w:rPr>
          <w:i/>
          <w:sz w:val="18"/>
        </w:rPr>
        <w:t>Used for carbaryl Daphnia magna 48-h EC50 = 7.47 μg/L. PPDB contains only D. pulex 48-h EC50 and D. magna 21-d NOEC for this compound. VERIFY full title and year at https://pubmed.ncbi.nlm.nih.gov/26549316/ before submission.</w:t>
      </w:r>
    </w:p>
    <w:p>
      <w:pPr>
        <w:pStyle w:val="Heading2"/>
      </w:pPr>
      <w:r>
        <w:t>Pesticide Use Data</w:t>
      </w:r>
    </w:p>
    <w:p>
      <w:pPr>
        <w:spacing w:after="120"/>
        <w:ind w:hanging="720" w:left="720"/>
      </w:pPr>
      <w:r>
        <w:rPr>
          <w:b w:val="0"/>
          <w:i w:val="0"/>
        </w:rPr>
        <w:t xml:space="preserve">California Department of Pesticide Regulation (CDPR). (2024). </w:t>
      </w:r>
      <w:r>
        <w:rPr>
          <w:b w:val="0"/>
          <w:i/>
        </w:rPr>
        <w:t>Pesticide Use Reporting (PUR)</w:t>
      </w:r>
      <w:r>
        <w:rPr>
          <w:b w:val="0"/>
          <w:i w:val="0"/>
        </w:rPr>
        <w:t xml:space="preserve"> [Database]. CDPR, Sacramento, CA. Retrieved 2015–2023 from https://www.cdpr.ca.gov/docs/pur/purmain.htm</w:t>
      </w:r>
    </w:p>
    <w:p>
      <w:pPr>
        <w:spacing w:after="200"/>
        <w:ind w:left="360"/>
      </w:pPr>
      <w:r>
        <w:rPr>
          <w:i/>
          <w:sz w:val="18"/>
        </w:rPr>
        <w:t>Analysis restricted to agricultural sites (site_code &lt; 65,000 per CDPR site-code conventions); calendar years 2015–2023.</w:t>
      </w:r>
    </w:p>
    <w:p/>
    <w:p>
      <w:pPr>
        <w:spacing w:before="240"/>
      </w:pPr>
      <w:r>
        <w:rPr>
          <w:sz w:val="20"/>
        </w:rPr>
        <w:t>Note: PPDB record URLs follow the pattern https://sitem.herts.ac.uk/aeru/ppdb/en/Reports/{N}.htm; BPDB record URLs follow https://sitem.herts.ac.uk/aeru/bpdb/Reports/{N}.htm. Per-chemical record numbers, test species, and sourcing flags are provided in the accompanying file toxicity_sources.csv.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