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Toxicity Value Lookup Procedure</w:t>
      </w:r>
    </w:p>
    <w:p>
      <w:pPr>
        <w:spacing w:after="200"/>
      </w:pPr>
      <w:r>
        <w:t>This document describes the step-by-step procedure used to obtain avian and aquatic invertebrate toxicity values for 44 pesticide active ingredients included in the California Pesticide Use Reporting (PUR) analysis. Reviewers may use these instructions to independently verify any individual value reported in toxicity_sources.csv.</w:t>
      </w:r>
    </w:p>
    <w:p>
      <w:pPr>
        <w:spacing w:after="280"/>
      </w:pPr>
      <w:r>
        <w:t>All values are stored in toxicity_lookup.csv alongside their source URLs. The procedure below describes how those URLs were queried and which fields were extracted.</w:t>
      </w:r>
    </w:p>
    <w:p>
      <w:pPr>
        <w:pStyle w:val="Heading2"/>
      </w:pPr>
      <w:r>
        <w:t>1. Toxicity Endpoints Used</w:t>
      </w:r>
    </w:p>
    <w:p>
      <w:pPr>
        <w:spacing w:after="120"/>
      </w:pPr>
      <w:r>
        <w:t>Two endpoints were extracted per chemical:</w:t>
      </w:r>
    </w:p>
    <w:p>
      <w:pPr>
        <w:pStyle w:val="ListBullet"/>
        <w:spacing w:after="60"/>
        <w:ind w:left="360"/>
      </w:pPr>
      <w:r>
        <w:rPr>
          <w:b/>
        </w:rPr>
        <w:t xml:space="preserve">Avian acute oral LD50 (mg/kg): </w:t>
      </w:r>
      <w:r>
        <w:t>Single-dose, 14-day mortality. Preferred test species: Northern Bobwhite (Colinus virginianus). Acceptable surrogate: Mallard duck (Anas platyrhynchos). Other surrogates are flagged in the notes column of toxicity_lookup.csv.</w:t>
      </w:r>
    </w:p>
    <w:p>
      <w:pPr>
        <w:pStyle w:val="ListBullet"/>
        <w:spacing w:after="60"/>
        <w:ind w:left="360"/>
      </w:pPr>
      <w:r>
        <w:rPr>
          <w:b/>
        </w:rPr>
        <w:t xml:space="preserve">Aquatic invertebrate EC50 (μg/L): </w:t>
      </w:r>
      <w:r>
        <w:t>Daphnia magna 48-hour EC50 for immobility (sometimes reported as LC50 immobility in PPDB). This is the standard Tier-1 regulatory endpoint for aquatic invertebrate risk assessment.</w:t>
      </w:r>
    </w:p>
    <w:p>
      <w:pPr>
        <w:spacing w:after="40"/>
      </w:pPr>
    </w:p>
    <w:p>
      <w:pPr>
        <w:spacing w:after="280"/>
      </w:pPr>
      <w:r>
        <w:t>These endpoints were chosen to match EPA and EFSA Tier-1 risk assessment conventions and to maximize cross-chemical comparability.</w:t>
      </w:r>
    </w:p>
    <w:p>
      <w:pPr>
        <w:pStyle w:val="Heading2"/>
      </w:pPr>
      <w:r>
        <w:t>2. Primary Source: Hertfordshire Pesticide Properties DataBase (PPDB)</w:t>
      </w:r>
    </w:p>
    <w:p>
      <w:pPr>
        <w:spacing w:after="200"/>
      </w:pPr>
      <w:r>
        <w:t>The PPDB (Lewis et al. 2016) was used as the primary source for all chemicals except spinosad (see Section 4). Each chemical has a single curated record at a stable URL.</w:t>
      </w:r>
    </w:p>
    <w:p>
      <w:pPr>
        <w:pStyle w:val="Heading3"/>
      </w:pPr>
      <w:r>
        <w:t>2.1 Locating a chemical record</w:t>
      </w:r>
    </w:p>
    <w:p>
      <w:pPr>
        <w:pStyle w:val="ListNumber"/>
        <w:spacing w:after="80"/>
        <w:ind w:left="360"/>
      </w:pPr>
      <w:r>
        <w:t>Navigate to the PPDB A–Z index: https://sitem.herts.ac.uk/aeru/ppdb/en/atoz.htm</w:t>
      </w:r>
    </w:p>
    <w:p>
      <w:pPr>
        <w:pStyle w:val="ListNumber"/>
        <w:spacing w:after="80"/>
        <w:ind w:left="360"/>
      </w:pPr>
      <w:r>
        <w:t>Click the first letter of the chemical name. Locate the chemical in the alphabetical list and click its name.</w:t>
      </w:r>
    </w:p>
    <w:p>
      <w:pPr>
        <w:pStyle w:val="ListNumber"/>
        <w:spacing w:after="80"/>
        <w:ind w:left="360"/>
      </w:pPr>
      <w:r>
        <w:t>The record URL will have the form: https://sitem.herts.ac.uk/aeru/ppdb/en/Reports/{N}.htm  where N is the PPDB record number. Record this number for citation.</w:t>
      </w:r>
    </w:p>
    <w:p>
      <w:pPr>
        <w:pStyle w:val="ListNumber"/>
        <w:spacing w:after="80"/>
        <w:ind w:left="360"/>
      </w:pPr>
      <w:r>
        <w:t>Alternatively, navigate directly if the record number is already known (e.g., from toxicity_sources.csv).</w:t>
      </w:r>
    </w:p>
    <w:p>
      <w:pPr>
        <w:spacing w:after="40"/>
      </w:pPr>
    </w:p>
    <w:p>
      <w:pPr>
        <w:pStyle w:val="Heading3"/>
      </w:pPr>
      <w:r>
        <w:t>2.2 Extracting the avian LD50</w:t>
      </w:r>
    </w:p>
    <w:p>
      <w:pPr>
        <w:spacing w:after="120"/>
      </w:pPr>
      <w:r>
        <w:t>On the chemical record page, locate the section titled "Ecotoxicological data" or "Ecotoxicology." Find the subsection for avian toxicity.</w:t>
      </w:r>
    </w:p>
    <w:p>
      <w:pPr>
        <w:spacing w:after="120"/>
      </w:pPr>
      <w:r>
        <w:t>Extract the following field:</w:t>
      </w:r>
    </w:p>
    <w:p>
      <w:pPr>
        <w:spacing w:after="40"/>
        <w:ind w:left="720"/>
      </w:pPr>
      <w:r>
        <w:rPr>
          <w:b/>
        </w:rPr>
        <w:t xml:space="preserve">Field name: </w:t>
      </w:r>
      <w:r>
        <w:rPr>
          <w:rFonts w:ascii="Courier New" w:hAnsi="Courier New"/>
          <w:sz w:val="20"/>
        </w:rPr>
        <w:t>Acute oral LD50</w:t>
      </w:r>
    </w:p>
    <w:p>
      <w:pPr>
        <w:spacing w:after="120"/>
        <w:ind w:left="1080"/>
      </w:pPr>
      <w:r>
        <w:rPr>
          <w:i/>
          <w:sz w:val="18"/>
        </w:rPr>
        <w:t>Reported in mg/kg. Prefer the Bobwhite (Colinus virginianus) value. If only a mallard (Anas platyrhynchos) value is present, use it and flag the surrogate species in your notes.</w:t>
      </w:r>
    </w:p>
    <w:p>
      <w:pPr>
        <w:spacing w:after="120"/>
      </w:pPr>
      <w:r>
        <w:t>If the value is reported as "&gt;N" (e.g., "&gt;2000"):</w:t>
      </w:r>
    </w:p>
    <w:p>
      <w:pPr>
        <w:pStyle w:val="ListBullet"/>
        <w:spacing w:after="60"/>
        <w:ind w:left="360"/>
      </w:pPr>
      <w:r>
        <w:t>Record N as the value (conservative floor).</w:t>
      </w:r>
    </w:p>
    <w:p>
      <w:pPr>
        <w:pStyle w:val="ListBullet"/>
        <w:spacing w:after="60"/>
        <w:ind w:left="360"/>
      </w:pPr>
      <w:r>
        <w:t>Set the avian_ceiling flag to TRUE in toxicity_lookup.csv.</w:t>
      </w:r>
    </w:p>
    <w:p>
      <w:pPr>
        <w:pStyle w:val="ListBullet"/>
        <w:spacing w:after="60"/>
        <w:ind w:left="360"/>
      </w:pPr>
      <w:r>
        <w:t>Do not interpret "&gt;N" as meaning the LD50 is N; the true LD50 exceeds N.</w:t>
      </w:r>
    </w:p>
    <w:p>
      <w:pPr>
        <w:spacing w:after="160"/>
        <w:ind w:left="360"/>
      </w:pPr>
      <w:r>
        <w:rPr>
          <w:b/>
          <w:color w:val="C00000"/>
          <w:sz w:val="20"/>
        </w:rPr>
        <w:t xml:space="preserve">Note: </w:t>
      </w:r>
      <w:r>
        <w:rPr>
          <w:sz w:val="20"/>
        </w:rPr>
        <w:t>PPDB sometimes lists a contact LD50 rather than an oral LD50 for avian toxicity. Verify that the field explicitly says "acute oral" — contact values are not interchangeable. If only a contact value is available, flag the record and consult ECOTOX (Section 3) for an oral value.</w:t>
      </w:r>
    </w:p>
    <w:p>
      <w:pPr>
        <w:pStyle w:val="Heading3"/>
      </w:pPr>
      <w:r>
        <w:t>2.3 Extracting the aquatic EC50</w:t>
      </w:r>
    </w:p>
    <w:p>
      <w:pPr>
        <w:spacing w:after="120"/>
      </w:pPr>
      <w:r>
        <w:t>In the same Ecotoxicological data section, locate the subsection for aquatic invertebrates.</w:t>
      </w:r>
    </w:p>
    <w:p>
      <w:pPr>
        <w:spacing w:after="120"/>
      </w:pPr>
      <w:r>
        <w:t>Extract the following field:</w:t>
      </w:r>
    </w:p>
    <w:p>
      <w:pPr>
        <w:spacing w:after="40"/>
        <w:ind w:left="720"/>
      </w:pPr>
      <w:r>
        <w:rPr>
          <w:b/>
        </w:rPr>
        <w:t xml:space="preserve">Field name: </w:t>
      </w:r>
      <w:r>
        <w:rPr>
          <w:rFonts w:ascii="Courier New" w:hAnsi="Courier New"/>
          <w:sz w:val="20"/>
        </w:rPr>
        <w:t>Daphnia EC50 (immobility) 48h</w:t>
      </w:r>
    </w:p>
    <w:p>
      <w:pPr>
        <w:spacing w:after="120"/>
        <w:ind w:left="1080"/>
      </w:pPr>
      <w:r>
        <w:rPr>
          <w:i/>
          <w:sz w:val="18"/>
        </w:rPr>
        <w:t>PPDB may label this 'LC50 (immobility)' or 'EC50 immobility' — these refer to the same endpoint. Units in PPDB are mg/L; multiply by 1000 to convert to μg/L before recording.</w:t>
      </w:r>
    </w:p>
    <w:p>
      <w:pPr>
        <w:spacing w:after="160"/>
        <w:ind w:left="360"/>
      </w:pPr>
      <w:r>
        <w:rPr>
          <w:b/>
          <w:color w:val="C00000"/>
          <w:sz w:val="20"/>
        </w:rPr>
        <w:t xml:space="preserve">Note: </w:t>
      </w:r>
      <w:r>
        <w:rPr>
          <w:sz w:val="20"/>
        </w:rPr>
        <w:t>PPDB reports aquatic toxicity in mg/L, not μg/L. A value of 0.00023 mg/L must be recorded as 0.23 μg/L. Always convert before entering the CSV.</w:t>
      </w:r>
    </w:p>
    <w:p>
      <w:pPr>
        <w:spacing w:after="120"/>
      </w:pPr>
      <w:r>
        <w:t>If the value is reported as "&gt;N":</w:t>
      </w:r>
    </w:p>
    <w:p>
      <w:pPr>
        <w:pStyle w:val="ListBullet"/>
        <w:spacing w:after="60"/>
        <w:ind w:left="360"/>
      </w:pPr>
      <w:r>
        <w:t>Record N × 1000 as the value in μg/L (conservative floor).</w:t>
      </w:r>
    </w:p>
    <w:p>
      <w:pPr>
        <w:pStyle w:val="ListBullet"/>
        <w:spacing w:after="60"/>
        <w:ind w:left="360"/>
      </w:pPr>
      <w:r>
        <w:t>Set the aquatic_ceiling flag to TRUE.</w:t>
      </w:r>
    </w:p>
    <w:p>
      <w:pPr>
        <w:spacing w:after="40"/>
      </w:pPr>
    </w:p>
    <w:p>
      <w:pPr>
        <w:pStyle w:val="Heading2"/>
      </w:pPr>
      <w:r>
        <w:t>3. Cross-Check Source: EPA ECOTOX Knowledgebase</w:t>
      </w:r>
    </w:p>
    <w:p>
      <w:pPr>
        <w:spacing w:after="120"/>
      </w:pPr>
      <w:r>
        <w:t>ECOTOX (https://cfpub.epa.gov/ecotox/) was used as a cross-check when one of the following conditions was met:</w:t>
      </w:r>
    </w:p>
    <w:p>
      <w:pPr>
        <w:pStyle w:val="ListBullet"/>
        <w:spacing w:after="60"/>
        <w:ind w:left="360"/>
      </w:pPr>
      <w:r>
        <w:t>The PPDB avian value uses a non-standard test species and no Bobwhite or mallard value is available.</w:t>
      </w:r>
    </w:p>
    <w:p>
      <w:pPr>
        <w:pStyle w:val="ListBullet"/>
        <w:spacing w:after="60"/>
        <w:ind w:left="360"/>
      </w:pPr>
      <w:r>
        <w:t>The PPDB value is a contact LD50 rather than an oral LD50.</w:t>
      </w:r>
    </w:p>
    <w:p>
      <w:pPr>
        <w:pStyle w:val="ListBullet"/>
        <w:spacing w:after="60"/>
        <w:ind w:left="360"/>
      </w:pPr>
      <w:r>
        <w:t>The PPDB value differs from expected class-level values by more than one order of magnitude.</w:t>
      </w:r>
    </w:p>
    <w:p>
      <w:pPr>
        <w:pStyle w:val="ListBullet"/>
        <w:spacing w:after="60"/>
        <w:ind w:left="360"/>
      </w:pPr>
      <w:r>
        <w:t>The PPDB aquatic value cites only Level 3 (reference book) sources rather than primary study data.</w:t>
      </w:r>
    </w:p>
    <w:p>
      <w:pPr>
        <w:spacing w:after="40"/>
      </w:pPr>
    </w:p>
    <w:p>
      <w:pPr>
        <w:pStyle w:val="Heading3"/>
      </w:pPr>
      <w:r>
        <w:t>3.1 ECOTOX query procedure</w:t>
      </w:r>
    </w:p>
    <w:p>
      <w:pPr>
        <w:pStyle w:val="ListNumber"/>
        <w:spacing w:after="80"/>
        <w:ind w:left="360"/>
      </w:pPr>
      <w:r>
        <w:t>Navigate to https://cfpub.epa.gov/ecotox/ and click "Search ECOTOX."</w:t>
      </w:r>
    </w:p>
    <w:p>
      <w:pPr>
        <w:pStyle w:val="ListNumber"/>
        <w:spacing w:after="80"/>
        <w:ind w:left="360"/>
      </w:pPr>
      <w:r>
        <w:rPr>
          <w:b/>
        </w:rPr>
        <w:t xml:space="preserve">Chemical: </w:t>
      </w:r>
      <w:r>
        <w:t>Enter the active ingredient name in the "Chemical" field. Use the CAS number if name matching returns no results.</w:t>
      </w:r>
    </w:p>
    <w:p>
      <w:pPr>
        <w:pStyle w:val="ListNumber"/>
        <w:spacing w:after="80"/>
        <w:ind w:left="360"/>
      </w:pPr>
      <w:r>
        <w:rPr>
          <w:b/>
        </w:rPr>
        <w:t xml:space="preserve">Species: </w:t>
      </w:r>
      <w:r>
        <w:t>Filter by species group "Birds" (for avian) or "Invertebrates" (for aquatic). Preferred species are listed in Section 1.</w:t>
      </w:r>
    </w:p>
    <w:p>
      <w:pPr>
        <w:pStyle w:val="ListNumber"/>
        <w:spacing w:after="80"/>
        <w:ind w:left="360"/>
      </w:pPr>
      <w:r>
        <w:rPr>
          <w:b/>
        </w:rPr>
        <w:t xml:space="preserve">Endpoint: </w:t>
      </w:r>
      <w:r>
        <w:t>Filter by endpoint "LD50" (avian) or "EC50" (aquatic). For aquatic, also filter by "immobility" or "mortality" effect.</w:t>
      </w:r>
    </w:p>
    <w:p>
      <w:pPr>
        <w:pStyle w:val="ListNumber"/>
        <w:spacing w:after="80"/>
        <w:ind w:left="360"/>
      </w:pPr>
      <w:r>
        <w:rPr>
          <w:b/>
        </w:rPr>
        <w:t xml:space="preserve">Duration: </w:t>
      </w:r>
      <w:r>
        <w:t>Filter by test duration 14d (avian) or 48h (aquatic).</w:t>
      </w:r>
    </w:p>
    <w:p>
      <w:pPr>
        <w:pStyle w:val="ListNumber"/>
        <w:spacing w:after="80"/>
        <w:ind w:left="360"/>
      </w:pPr>
      <w:r>
        <w:t>Review results. Prefer guideline studies (OECD 205 for avian; OECD 202 for aquatic) over academic studies when both are available.</w:t>
      </w:r>
    </w:p>
    <w:p>
      <w:pPr>
        <w:pStyle w:val="ListNumber"/>
        <w:spacing w:after="80"/>
        <w:ind w:left="360"/>
      </w:pPr>
      <w:r>
        <w:t>Record the selected value and the study citation (author, year, journal) in the notes column of toxicity_lookup.csv.</w:t>
      </w:r>
    </w:p>
    <w:p>
      <w:pPr>
        <w:spacing w:after="40"/>
      </w:pPr>
    </w:p>
    <w:p>
      <w:pPr>
        <w:spacing w:after="160"/>
        <w:ind w:left="360"/>
      </w:pPr>
      <w:r>
        <w:rPr>
          <w:b/>
          <w:color w:val="C00000"/>
          <w:sz w:val="20"/>
        </w:rPr>
        <w:t xml:space="preserve">Note: </w:t>
      </w:r>
      <w:r>
        <w:rPr>
          <w:sz w:val="20"/>
        </w:rPr>
        <w:t>ECOTOX returns multiple values per chemical. Do not average them without justification. The EPA-selected value used in the most recent registration review document is the most defensible single value to cite.</w:t>
      </w:r>
    </w:p>
    <w:p>
      <w:pPr>
        <w:pStyle w:val="Heading2"/>
      </w:pPr>
      <w:r>
        <w:t>4. Special Cases and Exceptions</w:t>
      </w:r>
    </w:p>
    <w:p>
      <w:pPr>
        <w:pStyle w:val="Heading3"/>
      </w:pPr>
      <w:r>
        <w:t>4.1 Spinosad — BPDB instead of PPDB</w:t>
      </w:r>
    </w:p>
    <w:p>
      <w:pPr>
        <w:spacing w:after="120"/>
      </w:pPr>
      <w:r>
        <w:t>Spinosad is a biopesticide derived from Saccharopolyspora spinosa and is not indexed in the standard PPDB. Use the AERU Biopesticide Properties DataBase (BPDB) instead:</w:t>
      </w:r>
    </w:p>
    <w:p>
      <w:pPr>
        <w:spacing w:after="40"/>
        <w:ind w:left="720"/>
      </w:pPr>
      <w:r>
        <w:rPr>
          <w:b/>
        </w:rPr>
        <w:t xml:space="preserve">URL: </w:t>
      </w:r>
      <w:r>
        <w:rPr>
          <w:rFonts w:ascii="Courier New" w:hAnsi="Courier New"/>
          <w:sz w:val="20"/>
        </w:rPr>
        <w:t>https://sitem.herts.ac.uk/aeru/bpdb/Reports/596.htm</w:t>
      </w:r>
    </w:p>
    <w:p>
      <w:pPr>
        <w:spacing w:after="200"/>
      </w:pPr>
      <w:r>
        <w:t>The BPDB uses the same field names and layout as PPDB. Apply the same extraction procedure (Sections 2.2–2.3).</w:t>
      </w:r>
    </w:p>
    <w:p>
      <w:pPr>
        <w:pStyle w:val="Heading3"/>
      </w:pPr>
      <w:r>
        <w:t>4.2 Thiacloprid — no PPDB oral LD50</w:t>
      </w:r>
    </w:p>
    <w:p>
      <w:pPr>
        <w:spacing w:after="120"/>
      </w:pPr>
      <w:r>
        <w:t>The PPDB record for thiacloprid (Record 630) contains only a canary contact LD50 (35 mg/kg), which is not the required endpoint. The avian oral LD50 was sourced from the Australian Pesticides and Veterinary Medicines Authority (APVMA) public release summary:</w:t>
      </w:r>
    </w:p>
    <w:p>
      <w:pPr>
        <w:spacing w:after="40"/>
        <w:ind w:left="720"/>
      </w:pPr>
      <w:r>
        <w:rPr>
          <w:b/>
        </w:rPr>
        <w:t xml:space="preserve">URL: </w:t>
      </w:r>
      <w:r>
        <w:rPr>
          <w:rFonts w:ascii="Courier New" w:hAnsi="Courier New"/>
          <w:sz w:val="20"/>
        </w:rPr>
        <w:t>https://www.apvma.gov.au/sites/default/files/publication/14066-prs-thiacloprid.pdf</w:t>
      </w:r>
    </w:p>
    <w:p>
      <w:pPr>
        <w:spacing w:after="200"/>
      </w:pPr>
      <w:r>
        <w:t>The value (Northern Bobwhite, 2716 mg/kg, OECD up-and-down method) appears in the ecotoxicology section of the APVMA review document. Note the very wide 95% confidence interval (1,540–248,553 mg/kg), which reflects a low-precision up-and-down design. The value is interpreted as "effectively non-toxic to birds" for risk classification purposes.</w:t>
      </w:r>
    </w:p>
    <w:p>
      <w:pPr>
        <w:pStyle w:val="Heading3"/>
      </w:pPr>
      <w:r>
        <w:t>4.3 Tetraniliprole — no empirical avian data</w:t>
      </w:r>
    </w:p>
    <w:p>
      <w:pPr>
        <w:spacing w:after="120"/>
      </w:pPr>
      <w:r>
        <w:t>The PPDB record for tetraniliprole (Record 3190) did not contain an avian LD50 at the time of lookup. A class-based estimate of &gt;2000 mg/kg was used, consistent with all other diamide insecticides in the dataset (chlorantraniliprole, cyantraniliprole, flubendiamide — all &gt;2000 mg/kg). This value is flagged in toxicity_lookup.csv and should be replaced with an empirical value from the EPA registration review before publication.</w:t>
      </w:r>
    </w:p>
    <w:p>
      <w:pPr>
        <w:spacing w:after="160"/>
        <w:ind w:left="360"/>
      </w:pPr>
      <w:r>
        <w:rPr>
          <w:b/>
          <w:color w:val="C00000"/>
          <w:sz w:val="20"/>
        </w:rPr>
        <w:t xml:space="preserve">Note: </w:t>
      </w:r>
      <w:r>
        <w:rPr>
          <w:sz w:val="20"/>
        </w:rPr>
        <w:t>The tetraniliprole avian estimate is the only non-empirical value in the dataset. Its contribution to the avian toxicity load analysis should be reported separately or excluded from any figure that claims full empirical sourcing.</w:t>
      </w:r>
    </w:p>
    <w:p>
      <w:pPr>
        <w:pStyle w:val="Heading3"/>
      </w:pPr>
      <w:r>
        <w:t>4.4 Carbaryl — aquatic from peer-reviewed literature</w:t>
      </w:r>
    </w:p>
    <w:p>
      <w:pPr>
        <w:spacing w:after="120"/>
      </w:pPr>
      <w:r>
        <w:t>The PPDB record for carbaryl (Record 115) contains a Daphnia pulex 48-h EC50 (6.4 μg/L) and a Daphnia magna 21-day NOEC, but not the required Daphnia magna 48-h EC50. A value of 7.47 μg/L was sourced from peer-reviewed literature (PubMed PMID 26549316 — verify full citation before submission). The literature value is consistent with the PPDB D. pulex value (6.4 μg/L), providing cross-species corroboration.</w:t>
      </w:r>
    </w:p>
    <w:p>
      <w:pPr>
        <w:pStyle w:val="Heading3"/>
      </w:pPr>
      <w:r>
        <w:t>4.5 Beta-cyfluthrin — PPDB avian value non-guideline</w:t>
      </w:r>
    </w:p>
    <w:p>
      <w:pPr>
        <w:spacing w:after="120"/>
      </w:pPr>
      <w:r>
        <w:t>The PPDB record for beta-cyfluthrin (Record 74) reports a canary LD50 derived from a formulated-product study (Dane et al.) rather than a guideline acute oral study. This value is not appropriate for comparison with Bobwhite or mallard values from other chemicals. The avian LD50 was instead sourced from ECOTOX, which confirms a Bobwhite acute oral LD50 &gt;2000 mg/kg, consistent with the parent compound cyfluthrin (PPDB Record 192, &gt;2000 mg/kg Bobwhite). The supporting ECOTOX reference is PMC3090753.</w:t>
      </w:r>
    </w:p>
    <w:p>
      <w:pPr>
        <w:spacing w:after="40"/>
      </w:pPr>
    </w:p>
    <w:p>
      <w:pPr>
        <w:pStyle w:val="Heading2"/>
      </w:pPr>
      <w:r>
        <w:t>5. Handling Ceiling Values ("&gt;N" Reported Values)</w:t>
      </w:r>
    </w:p>
    <w:p>
      <w:pPr>
        <w:spacing w:after="160"/>
      </w:pPr>
      <w:r>
        <w:t>A ceiling value occurs when the test dose range did not span the LD50 or EC50 — that is, no mortality or immobility reached 50% at any tested dose. Regulators report this as "&gt;N" where N is the highest dose tested.</w:t>
      </w:r>
    </w:p>
    <w:p>
      <w:pPr>
        <w:spacing w:after="120"/>
      </w:pPr>
      <w:r>
        <w:t>Handling convention used in this analysis:</w:t>
      </w:r>
    </w:p>
    <w:p>
      <w:pPr>
        <w:pStyle w:val="ListBullet"/>
        <w:spacing w:after="60"/>
        <w:ind w:left="360"/>
      </w:pPr>
      <w:r>
        <w:rPr>
          <w:b/>
        </w:rPr>
        <w:t xml:space="preserve">Conservative floor: </w:t>
      </w:r>
      <w:r>
        <w:t>Store N as the value. This understates the safety margin but never overstates toxicity. Toxicity units (lbs ÷ LD50) will be overestimated for chemicals with ceiling values.</w:t>
      </w:r>
    </w:p>
    <w:p>
      <w:pPr>
        <w:pStyle w:val="ListBullet"/>
        <w:spacing w:after="60"/>
        <w:ind w:left="360"/>
      </w:pPr>
      <w:r>
        <w:rPr>
          <w:b/>
        </w:rPr>
        <w:t xml:space="preserve">Boolean flags: </w:t>
      </w:r>
      <w:r>
        <w:t>The avian_ceiling and aquatic_ceiling columns in toxicity_lookup.csv record whether each value is a ceiling. Analyses sensitive to this assumption should treat ceiling chemicals separately.</w:t>
      </w:r>
    </w:p>
    <w:p>
      <w:pPr>
        <w:pStyle w:val="ListBullet"/>
        <w:spacing w:after="60"/>
        <w:ind w:left="360"/>
      </w:pPr>
      <w:r>
        <w:rPr>
          <w:b/>
        </w:rPr>
        <w:t xml:space="preserve">Do not double the value: </w:t>
      </w:r>
      <w:r>
        <w:t>Using 2×N as a substitute is sometimes recommended but was not applied here, as it introduces an unjustified assumption about the shape of the dose-response curve above the tested range.</w:t>
      </w:r>
    </w:p>
    <w:p>
      <w:pPr>
        <w:spacing w:after="40"/>
      </w:pPr>
    </w:p>
    <w:p>
      <w:pPr>
        <w:pStyle w:val="Heading2"/>
      </w:pPr>
      <w:r>
        <w:t>6. Reviewer Verification Checklist</w:t>
      </w:r>
    </w:p>
    <w:p>
      <w:pPr>
        <w:spacing w:after="120"/>
      </w:pPr>
      <w:r>
        <w:t>To independently verify a value for any chemical in toxicity_sources.csv:</w:t>
      </w:r>
    </w:p>
    <w:p>
      <w:pPr>
        <w:pStyle w:val="ListNumber"/>
        <w:spacing w:after="80"/>
        <w:ind w:left="360"/>
      </w:pPr>
      <w:r>
        <w:t>Open toxicity_sources.csv and locate the row for the chemical of interest.</w:t>
      </w:r>
    </w:p>
    <w:p>
      <w:pPr>
        <w:pStyle w:val="ListNumber"/>
        <w:spacing w:after="80"/>
        <w:ind w:left="360"/>
      </w:pPr>
      <w:r>
        <w:rPr>
          <w:b/>
        </w:rPr>
        <w:t xml:space="preserve">avian_url / aquatic_url: </w:t>
      </w:r>
      <w:r>
        <w:t>Navigate to the URL in the relevant column. For PPDB records, the URL is of the form https://sitem.herts.ac.uk/aeru/ppdb/en/Reports/{N}.htm.</w:t>
      </w:r>
    </w:p>
    <w:p>
      <w:pPr>
        <w:pStyle w:val="ListNumber"/>
        <w:spacing w:after="80"/>
        <w:ind w:left="360"/>
      </w:pPr>
      <w:r>
        <w:t>Locate the endpoint field as described in Section 2 (avian) or Section 2.3 (aquatic). Confirm the numeric value and units match what is reported in toxicity_lookup.csv (avian_ld50_mg_per_kg or aquatic_lc50_ug_per_l columns).</w:t>
      </w:r>
    </w:p>
    <w:p>
      <w:pPr>
        <w:pStyle w:val="ListNumber"/>
        <w:spacing w:after="80"/>
        <w:ind w:left="360"/>
      </w:pPr>
      <w:r>
        <w:t>Check the avian_test_species and aquatic_test_species columns in toxicity_lookup.csv against what the source page reports. Flag any discrepancy.</w:t>
      </w:r>
    </w:p>
    <w:p>
      <w:pPr>
        <w:pStyle w:val="ListNumber"/>
        <w:spacing w:after="80"/>
        <w:ind w:left="360"/>
      </w:pPr>
      <w:r>
        <w:t>If a ceiling flag is TRUE, confirm the source reports the value as "&gt;N" and that N matches the stored value.</w:t>
      </w:r>
    </w:p>
    <w:p>
      <w:pPr>
        <w:pStyle w:val="ListNumber"/>
        <w:spacing w:after="80"/>
        <w:ind w:left="360"/>
      </w:pPr>
      <w:r>
        <w:t>For entries with non-PPDB sources (thiacloprid, carbaryl aquatic, beta-cyfluthrin avian, spinosad), refer to Sections 4.2–4.5 for source-specific guidance.</w:t>
      </w:r>
    </w:p>
    <w:p>
      <w:pPr>
        <w:pStyle w:val="ListNumber"/>
        <w:spacing w:after="80"/>
        <w:ind w:left="360"/>
      </w:pPr>
      <w:r>
        <w:t>If the PPDB record has been updated since May 2026 and the value has changed, note the discrepancy. Regulatory database values are occasionally revised as new studies are accepted.</w:t>
      </w:r>
    </w:p>
    <w:p>
      <w:pPr>
        <w:spacing w:after="40"/>
      </w:pPr>
    </w:p>
    <w:p>
      <w:pPr>
        <w:pStyle w:val="Heading2"/>
      </w:pPr>
      <w:r>
        <w:t>7. Summary of Non-Standard Sourcing Decisions</w:t>
      </w:r>
    </w:p>
    <w:p>
      <w:pPr>
        <w:spacing w:after="160"/>
      </w:pPr>
      <w:r>
        <w:t>The table below summarizes the five chemicals where the standard PPDB procedure could not be followed, and the rationale for the alternative source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Chemical</w:t>
            </w:r>
          </w:p>
        </w:tc>
        <w:tc>
          <w:tcPr>
            <w:tcW w:type="dxa" w:w="2160"/>
          </w:tcPr>
          <w:p>
            <w:r>
              <w:rPr>
                <w:b/>
                <w:sz w:val="20"/>
              </w:rPr>
              <w:t>Endpoint</w:t>
            </w:r>
          </w:p>
        </w:tc>
        <w:tc>
          <w:tcPr>
            <w:tcW w:type="dxa" w:w="2160"/>
          </w:tcPr>
          <w:p>
            <w:r>
              <w:rPr>
                <w:b/>
                <w:sz w:val="20"/>
              </w:rPr>
              <w:t>Issue</w:t>
            </w:r>
          </w:p>
        </w:tc>
        <w:tc>
          <w:tcPr>
            <w:tcW w:type="dxa" w:w="2160"/>
          </w:tcPr>
          <w:p>
            <w:r>
              <w:rPr>
                <w:b/>
                <w:sz w:val="20"/>
              </w:rPr>
              <w:t>Resolution</w:t>
            </w:r>
          </w:p>
        </w:tc>
      </w:tr>
      <w:tr>
        <w:tc>
          <w:tcPr>
            <w:tcW w:type="dxa" w:w="2160"/>
          </w:tcPr>
          <w:p>
            <w:r>
              <w:rPr>
                <w:sz w:val="18"/>
              </w:rPr>
              <w:t>spinosad</w:t>
            </w:r>
          </w:p>
        </w:tc>
        <w:tc>
          <w:tcPr>
            <w:tcW w:type="dxa" w:w="2160"/>
          </w:tcPr>
          <w:p>
            <w:r>
              <w:rPr>
                <w:sz w:val="18"/>
              </w:rPr>
              <w:t>Both</w:t>
            </w:r>
          </w:p>
        </w:tc>
        <w:tc>
          <w:tcPr>
            <w:tcW w:type="dxa" w:w="2160"/>
          </w:tcPr>
          <w:p>
            <w:r>
              <w:rPr>
                <w:sz w:val="18"/>
              </w:rPr>
              <w:t>Not indexed in PPDB</w:t>
            </w:r>
          </w:p>
        </w:tc>
        <w:tc>
          <w:tcPr>
            <w:tcW w:type="dxa" w:w="2160"/>
          </w:tcPr>
          <w:p>
            <w:r>
              <w:rPr>
                <w:sz w:val="18"/>
              </w:rPr>
              <w:t>BPDB Record 596 (same AERU group, same format)</w:t>
            </w:r>
          </w:p>
        </w:tc>
      </w:tr>
      <w:tr>
        <w:tc>
          <w:tcPr>
            <w:tcW w:type="dxa" w:w="2160"/>
          </w:tcPr>
          <w:p>
            <w:r>
              <w:rPr>
                <w:sz w:val="18"/>
              </w:rPr>
              <w:t>thiacloprid</w:t>
            </w:r>
          </w:p>
        </w:tc>
        <w:tc>
          <w:tcPr>
            <w:tcW w:type="dxa" w:w="2160"/>
          </w:tcPr>
          <w:p>
            <w:r>
              <w:rPr>
                <w:sz w:val="18"/>
              </w:rPr>
              <w:t>Avian</w:t>
            </w:r>
          </w:p>
        </w:tc>
        <w:tc>
          <w:tcPr>
            <w:tcW w:type="dxa" w:w="2160"/>
          </w:tcPr>
          <w:p>
            <w:r>
              <w:rPr>
                <w:sz w:val="18"/>
              </w:rPr>
              <w:t>PPDB has canary contact LD50 only — not the required endpoint</w:t>
            </w:r>
          </w:p>
        </w:tc>
        <w:tc>
          <w:tcPr>
            <w:tcW w:type="dxa" w:w="2160"/>
          </w:tcPr>
          <w:p>
            <w:r>
              <w:rPr>
                <w:sz w:val="18"/>
              </w:rPr>
              <w:t>APVMA public release summary (Bobwhite 2716 mg/kg, OECD up-and-down)</w:t>
            </w:r>
          </w:p>
        </w:tc>
      </w:tr>
      <w:tr>
        <w:tc>
          <w:tcPr>
            <w:tcW w:type="dxa" w:w="2160"/>
          </w:tcPr>
          <w:p>
            <w:r>
              <w:rPr>
                <w:sz w:val="18"/>
              </w:rPr>
              <w:t>tetraniliprole</w:t>
            </w:r>
          </w:p>
        </w:tc>
        <w:tc>
          <w:tcPr>
            <w:tcW w:type="dxa" w:w="2160"/>
          </w:tcPr>
          <w:p>
            <w:r>
              <w:rPr>
                <w:sz w:val="18"/>
              </w:rPr>
              <w:t>Avian</w:t>
            </w:r>
          </w:p>
        </w:tc>
        <w:tc>
          <w:tcPr>
            <w:tcW w:type="dxa" w:w="2160"/>
          </w:tcPr>
          <w:p>
            <w:r>
              <w:rPr>
                <w:sz w:val="18"/>
              </w:rPr>
              <w:t>No empirical data in PPDB at time of lookup</w:t>
            </w:r>
          </w:p>
        </w:tc>
        <w:tc>
          <w:tcPr>
            <w:tcW w:type="dxa" w:w="2160"/>
          </w:tcPr>
          <w:p>
            <w:r>
              <w:rPr>
                <w:sz w:val="18"/>
              </w:rPr>
              <w:t>Class-based estimate (&gt;2000 mg/kg); flagged; verify before publication</w:t>
            </w:r>
          </w:p>
        </w:tc>
      </w:tr>
      <w:tr>
        <w:tc>
          <w:tcPr>
            <w:tcW w:type="dxa" w:w="2160"/>
          </w:tcPr>
          <w:p>
            <w:r>
              <w:rPr>
                <w:sz w:val="18"/>
              </w:rPr>
              <w:t>carbaryl</w:t>
            </w:r>
          </w:p>
        </w:tc>
        <w:tc>
          <w:tcPr>
            <w:tcW w:type="dxa" w:w="2160"/>
          </w:tcPr>
          <w:p>
            <w:r>
              <w:rPr>
                <w:sz w:val="18"/>
              </w:rPr>
              <w:t>Aquatic</w:t>
            </w:r>
          </w:p>
        </w:tc>
        <w:tc>
          <w:tcPr>
            <w:tcW w:type="dxa" w:w="2160"/>
          </w:tcPr>
          <w:p>
            <w:r>
              <w:rPr>
                <w:sz w:val="18"/>
              </w:rPr>
              <w:t>PPDB has D. pulex and D. magna 21d NOEC only — missing D. magna 48h EC50</w:t>
            </w:r>
          </w:p>
        </w:tc>
        <w:tc>
          <w:tcPr>
            <w:tcW w:type="dxa" w:w="2160"/>
          </w:tcPr>
          <w:p>
            <w:r>
              <w:rPr>
                <w:sz w:val="18"/>
              </w:rPr>
              <w:t>Peer-reviewed literature (PMID 26549316); consistent with D. pulex value</w:t>
            </w:r>
          </w:p>
        </w:tc>
      </w:tr>
      <w:tr>
        <w:tc>
          <w:tcPr>
            <w:tcW w:type="dxa" w:w="2160"/>
          </w:tcPr>
          <w:p>
            <w:r>
              <w:rPr>
                <w:sz w:val="18"/>
              </w:rPr>
              <w:t>beta-cyfluthrin</w:t>
            </w:r>
          </w:p>
        </w:tc>
        <w:tc>
          <w:tcPr>
            <w:tcW w:type="dxa" w:w="2160"/>
          </w:tcPr>
          <w:p>
            <w:r>
              <w:rPr>
                <w:sz w:val="18"/>
              </w:rPr>
              <w:t>Avian</w:t>
            </w:r>
          </w:p>
        </w:tc>
        <w:tc>
          <w:tcPr>
            <w:tcW w:type="dxa" w:w="2160"/>
          </w:tcPr>
          <w:p>
            <w:r>
              <w:rPr>
                <w:sz w:val="18"/>
              </w:rPr>
              <w:t>PPDB value from non-guideline formulated-product study (canary contact)</w:t>
            </w:r>
          </w:p>
        </w:tc>
        <w:tc>
          <w:tcPr>
            <w:tcW w:type="dxa" w:w="2160"/>
          </w:tcPr>
          <w:p>
            <w:r>
              <w:rPr>
                <w:sz w:val="18"/>
              </w:rPr>
              <w:t>ECOTOX (Bobwhite &gt;2000 mg/kg; PMC3090753); consistent with parent cyfluthrin</w:t>
            </w:r>
          </w:p>
        </w:tc>
      </w:tr>
    </w:tbl>
    <w:p>
      <w:pPr>
        <w:spacing w:after="40"/>
      </w:pPr>
    </w:p>
    <w:p>
      <w:pPr>
        <w:spacing w:after="40"/>
      </w:pPr>
    </w:p>
    <w:p>
      <w:pPr>
        <w:spacing w:after="80"/>
      </w:pPr>
      <w:r>
        <w:t>All other chemicals (39 of 44) were sourced directly from PPDB using the standard procedure in Section 2, with no cross-checks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