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D3ED1" w14:textId="77777777" w:rsidR="00E060CD" w:rsidRPr="00C2500E" w:rsidRDefault="00E060CD" w:rsidP="00E060C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2500E">
        <w:rPr>
          <w:rFonts w:ascii="Times New Roman" w:hAnsi="Times New Roman" w:cs="Times New Roman"/>
          <w:b/>
          <w:bCs/>
          <w:sz w:val="40"/>
          <w:szCs w:val="40"/>
        </w:rPr>
        <w:t xml:space="preserve">3.4. </w:t>
      </w:r>
      <w:r>
        <w:rPr>
          <w:rFonts w:ascii="Times New Roman" w:hAnsi="Times New Roman" w:cs="Times New Roman"/>
          <w:b/>
          <w:bCs/>
          <w:sz w:val="40"/>
          <w:szCs w:val="40"/>
        </w:rPr>
        <w:t>Оператор присваивания и правило трёх</w:t>
      </w:r>
    </w:p>
    <w:p w14:paraId="773FB4E9" w14:textId="77777777" w:rsidR="00E060CD" w:rsidRDefault="00E060CD" w:rsidP="00E060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00E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C2500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компилятор сам определяет неопределённый оператор присваивания.</w:t>
      </w:r>
    </w:p>
    <w:p w14:paraId="620C3871" w14:textId="77777777" w:rsidR="00E060CD" w:rsidRDefault="00E060CD" w:rsidP="00E060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работает в цепочку.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5667"/>
        <w:gridCol w:w="3967"/>
      </w:tblGrid>
      <w:tr w:rsidR="00E060CD" w14:paraId="2CBDA136" w14:textId="77777777" w:rsidTr="00980DBE">
        <w:trPr>
          <w:trHeight w:val="567"/>
        </w:trPr>
        <w:tc>
          <w:tcPr>
            <w:tcW w:w="5670" w:type="dxa"/>
            <w:vAlign w:val="center"/>
          </w:tcPr>
          <w:p w14:paraId="09DE332D" w14:textId="77777777" w:rsidR="00E060CD" w:rsidRPr="00454829" w:rsidRDefault="00E060CD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некорректная запись</w:t>
            </w:r>
          </w:p>
        </w:tc>
        <w:tc>
          <w:tcPr>
            <w:tcW w:w="3969" w:type="dxa"/>
            <w:vAlign w:val="center"/>
          </w:tcPr>
          <w:p w14:paraId="2C5DFCF2" w14:textId="77777777" w:rsidR="00E060CD" w:rsidRDefault="00E060CD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E060CD" w14:paraId="60979D41" w14:textId="77777777" w:rsidTr="00980DBE">
        <w:trPr>
          <w:trHeight w:val="567"/>
        </w:trPr>
        <w:tc>
          <w:tcPr>
            <w:tcW w:w="5670" w:type="dxa"/>
            <w:vAlign w:val="center"/>
          </w:tcPr>
          <w:p w14:paraId="01DE7188" w14:textId="77777777" w:rsidR="00E060CD" w:rsidRDefault="00E060CD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6AF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9B285A5" wp14:editId="10BDD6EC">
                  <wp:extent cx="3416524" cy="1184564"/>
                  <wp:effectExtent l="0" t="0" r="0" b="0"/>
                  <wp:docPr id="20887818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37973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720" cy="1234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4DB62ADF" w14:textId="77777777" w:rsidR="00E060CD" w:rsidRDefault="00E060CD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82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DEAD640" wp14:editId="152A5023">
                  <wp:extent cx="2338707" cy="1295400"/>
                  <wp:effectExtent l="0" t="0" r="4445" b="0"/>
                  <wp:docPr id="9754560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4560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430" cy="1317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46A2EF" w14:textId="622A0333" w:rsidR="00000000" w:rsidRPr="00E060CD" w:rsidRDefault="00E060CD" w:rsidP="00E060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07A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Правило трёх</w:t>
      </w:r>
      <w:r>
        <w:rPr>
          <w:rFonts w:ascii="Times New Roman" w:hAnsi="Times New Roman" w:cs="Times New Roman"/>
          <w:sz w:val="28"/>
          <w:szCs w:val="28"/>
        </w:rPr>
        <w:t>: если классу понадобился нетривиальный конструктор копирования, нетривиальный деструктор или нетривиальный оператор присваивания, то все 3 должны быть нетривиальными (определёнными).</w:t>
      </w:r>
    </w:p>
    <w:sectPr w:rsidR="00EE67B6" w:rsidRPr="00E060CD" w:rsidSect="00E060CD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EF"/>
    <w:rsid w:val="001D07C2"/>
    <w:rsid w:val="002616AB"/>
    <w:rsid w:val="0035135C"/>
    <w:rsid w:val="00800164"/>
    <w:rsid w:val="008D3F0B"/>
    <w:rsid w:val="00D726B4"/>
    <w:rsid w:val="00E060CD"/>
    <w:rsid w:val="00E460EF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54878"/>
  <w15:chartTrackingRefBased/>
  <w15:docId w15:val="{D66A3784-777A-47F3-AB78-603C1C33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0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2024-11-04T14:18:00Z</dcterms:created>
  <dcterms:modified xsi:type="dcterms:W3CDTF">2024-11-04T14:18:00Z</dcterms:modified>
</cp:coreProperties>
</file>