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2"/>
          <w:szCs w:val="52"/>
        </w:rPr>
        <w:t xml:space="preserve">DANNY MATHIESON</w:t>
      </w:r>
    </w:p>
    <w:p>
      <w:pPr>
        <w:spacing w:after="40" w:before="0"/>
        <w:jc w:val="center"/>
      </w:pPr>
      <w:r>
        <w:rPr>
          <w:rFonts w:ascii="Arial" w:cs="Arial" w:eastAsia="Arial" w:hAnsi="Arial"/>
          <w:color w:val="555555"/>
          <w:sz w:val="22"/>
          <w:szCs w:val="22"/>
        </w:rPr>
        <w:t xml:space="preserve">Director, Sales Engineering — Smarter Technologies</w:t>
      </w:r>
    </w:p>
    <w:p>
      <w:pPr>
        <w:spacing w:after="20" w:before="0"/>
        <w:jc w:val="center"/>
      </w:pPr>
      <w:r>
        <w:rPr>
          <w:rFonts w:ascii="Arial" w:cs="Arial" w:eastAsia="Arial" w:hAnsi="Arial"/>
          <w:color w:val="555555"/>
          <w:sz w:val="18"/>
          <w:szCs w:val="18"/>
        </w:rPr>
        <w:t xml:space="preserve">San Francisco, CA  |  danny.mathieson@thoughtful.ai</w:t>
      </w:r>
    </w:p>
    <w:p>
      <w:pPr>
        <w:pBdr>
          <w:bottom w:val="single" w:color="2E5FA3" w:sz="12"/>
        </w:pBdr>
        <w:spacing w:after="80" w:before="0"/>
      </w:pPr>
    </w:p>
    <w:p>
      <w:pPr>
        <w:spacing w:after="80" w:before="0"/>
      </w:pPr>
    </w:p>
    <w:p>
      <w:pPr>
        <w:spacing w:after="40" w:before="180"/>
      </w:pPr>
      <w:r>
        <w:rPr>
          <w:rFonts w:ascii="Arial" w:cs="Arial" w:eastAsia="Arial" w:hAnsi="Arial"/>
          <w:b/>
          <w:bCs/>
          <w:color w:val="1F3864"/>
          <w:sz w:val="22"/>
          <w:szCs w:val="22"/>
        </w:rPr>
        <w:t xml:space="preserve">EXECUTIVE PROFILE</w:t>
      </w:r>
    </w:p>
    <w:p>
      <w:pPr>
        <w:pBdr>
          <w:bottom w:val="single" w:color="2E5FA3" w:sz="8"/>
        </w:pBdr>
        <w:spacing w:after="80" w:before="0"/>
      </w:pPr>
    </w:p>
    <w:p>
      <w:pPr>
        <w:spacing w:after="120" w:before="80"/>
      </w:pPr>
      <w:r>
        <w:rPr>
          <w:rFonts w:ascii="Arial" w:cs="Arial" w:eastAsia="Arial" w:hAnsi="Arial"/>
          <w:color w:val="1A1A1A"/>
          <w:sz w:val="20"/>
          <w:szCs w:val="20"/>
        </w:rPr>
        <w:t xml:space="preserve">Danny Mathieson is a healthcare technology executive with a track record of commercialising AI-driven automation across complex, regulated enterprise environments. As Director of Sales Engineering at Smarter Technologies, he leads the technical commercial function for a portfolio spanning revenue cycle AI products—including eligibility verification, prior authorisation, accounts receivable automation, and denials management—across health systems, multi-site ambulatory practices, and specialty groups.</w:t>
      </w:r>
    </w:p>
    <w:p>
      <w:pPr>
        <w:spacing w:after="120" w:before="0"/>
      </w:pPr>
      <w:r>
        <w:rPr>
          <w:rFonts w:ascii="Arial" w:cs="Arial" w:eastAsia="Arial" w:hAnsi="Arial"/>
          <w:color w:val="1A1A1A"/>
          <w:sz w:val="20"/>
          <w:szCs w:val="20"/>
        </w:rPr>
        <w:t xml:space="preserve">Danny brings a distinctive blend of strategic, technical, and market intelligence capabilities. He has built and deployed go-to-market frameworks—including competitive landscape analysis, Ideal Customer Profile definitions, and pricing architecture—that have shaped how Smarter Technologies positions and sells its products at the executive level. His deal portfolio spans $15M+ in active opportunities across 20 enterprise accounts including NextGen Healthcare, Duke Health, Fresenius Medical Care, Ohio Health, and MetroHealth, where he has delivered in-person executive presentations to audiences including Chief AI Officers, CFOs, and COOs.</w:t>
      </w:r>
    </w:p>
    <w:p>
      <w:pPr>
        <w:spacing w:after="120" w:before="0"/>
      </w:pPr>
      <w:r>
        <w:rPr>
          <w:rFonts w:ascii="Arial" w:cs="Arial" w:eastAsia="Arial" w:hAnsi="Arial"/>
          <w:color w:val="1A1A1A"/>
          <w:sz w:val="20"/>
          <w:szCs w:val="20"/>
        </w:rPr>
        <w:t xml:space="preserve">A deep student of healthcare regulation and interoperability—including HIPAA, CMS policy evolution, and EHR ecosystem dynamics across Epic, NextGen, and Oracle—Danny operates at the intersection of clinical workflow, data infrastructure, and enterprise procurement. He has led company-level engagements on security and compliance diligence (SOC2, HIPAA, BAA frameworks), authored executive-level risk and opportunity analyses reviewed directly by the CEO, and represents the organisation at the executive and C-suite level with strategic accounts.</w:t>
      </w:r>
    </w:p>
    <w:p>
      <w:pPr>
        <w:spacing w:after="120" w:before="0"/>
      </w:pPr>
      <w:r>
        <w:rPr>
          <w:rFonts w:ascii="Arial" w:cs="Arial" w:eastAsia="Arial" w:hAnsi="Arial"/>
          <w:color w:val="1A1A1A"/>
          <w:sz w:val="20"/>
          <w:szCs w:val="20"/>
        </w:rPr>
        <w:t xml:space="preserve">Danny's contributions extend across functions: he is a designated product SME certifier for SmarterVerification, a key contributor to new hire technical onboarding, and the owner of the Solutions Engineer hiring process—including designing and running structured technical interviews using multi-persona roleplay to assess candidate readiness. Commercial peers have noted that his involvement in deals consistently raises the quality of execution; AEs across the team report greater confidence on accounts where he is engaged.</w:t>
      </w:r>
    </w:p>
    <w:p>
      <w:pPr>
        <w:spacing w:after="80" w:before="0"/>
      </w:pPr>
      <w:r>
        <w:rPr>
          <w:rFonts w:ascii="Arial" w:cs="Arial" w:eastAsia="Arial" w:hAnsi="Arial"/>
          <w:color w:val="1A1A1A"/>
          <w:sz w:val="20"/>
          <w:szCs w:val="20"/>
        </w:rPr>
        <w:t xml:space="preserve">Prior to Smarter Technologies, Danny served as Senior Director at Action Network. He holds a certification in AI and Machine Learning from Caltech (2022–2023).</w:t>
      </w:r>
    </w:p>
    <w:p>
      <w:pPr>
        <w:spacing w:after="80" w:before="0"/>
      </w:pPr>
    </w:p>
    <w:p>
      <w:pPr>
        <w:spacing w:after="40" w:before="180"/>
      </w:pPr>
      <w:r>
        <w:rPr>
          <w:rFonts w:ascii="Arial" w:cs="Arial" w:eastAsia="Arial" w:hAnsi="Arial"/>
          <w:b/>
          <w:bCs/>
          <w:color w:val="1F3864"/>
          <w:sz w:val="22"/>
          <w:szCs w:val="22"/>
        </w:rPr>
        <w:t xml:space="preserve">AREAS OF BOARD &amp; ADVISORY EXPERTISE</w:t>
      </w:r>
    </w:p>
    <w:p>
      <w:pPr>
        <w:pBdr>
          <w:bottom w:val="single" w:color="2E5FA3" w:sz="8"/>
        </w:pBdr>
        <w:spacing w:after="80" w:before="0"/>
      </w:pPr>
    </w:p>
    <w:p>
      <w:pPr>
        <w:pStyle w:val="ListParagraph"/>
        <w:numPr>
          <w:ilvl w:val="0"/>
          <w:numId w:val="2"/>
        </w:numPr>
        <w:spacing w:after="40" w:before="40"/>
      </w:pPr>
      <w:r>
        <w:rPr>
          <w:rFonts w:ascii="Arial" w:cs="Arial" w:eastAsia="Arial" w:hAnsi="Arial"/>
          <w:color w:val="1A1A1A"/>
          <w:sz w:val="20"/>
          <w:szCs w:val="20"/>
        </w:rPr>
        <w:t xml:space="preserve">Enterprise healthcare AI commercialisation and GTM strategy</w:t>
      </w:r>
    </w:p>
    <w:p>
      <w:pPr>
        <w:pStyle w:val="ListParagraph"/>
        <w:numPr>
          <w:ilvl w:val="0"/>
          <w:numId w:val="2"/>
        </w:numPr>
        <w:spacing w:after="40" w:before="40"/>
      </w:pPr>
      <w:r>
        <w:rPr>
          <w:rFonts w:ascii="Arial" w:cs="Arial" w:eastAsia="Arial" w:hAnsi="Arial"/>
          <w:color w:val="1A1A1A"/>
          <w:sz w:val="20"/>
          <w:szCs w:val="20"/>
        </w:rPr>
        <w:t xml:space="preserve">Revenue cycle technology and automation economics in regulated environments</w:t>
      </w:r>
    </w:p>
    <w:p>
      <w:pPr>
        <w:pStyle w:val="ListParagraph"/>
        <w:numPr>
          <w:ilvl w:val="0"/>
          <w:numId w:val="2"/>
        </w:numPr>
        <w:spacing w:after="40" w:before="40"/>
      </w:pPr>
      <w:r>
        <w:rPr>
          <w:rFonts w:ascii="Arial" w:cs="Arial" w:eastAsia="Arial" w:hAnsi="Arial"/>
          <w:color w:val="1A1A1A"/>
          <w:sz w:val="20"/>
          <w:szCs w:val="20"/>
        </w:rPr>
        <w:t xml:space="preserve">Solutions Engineering function design, ICP framework development, and pricing strategy</w:t>
      </w:r>
    </w:p>
    <w:p>
      <w:pPr>
        <w:pStyle w:val="ListParagraph"/>
        <w:numPr>
          <w:ilvl w:val="0"/>
          <w:numId w:val="2"/>
        </w:numPr>
        <w:spacing w:after="40" w:before="40"/>
      </w:pPr>
      <w:r>
        <w:rPr>
          <w:rFonts w:ascii="Arial" w:cs="Arial" w:eastAsia="Arial" w:hAnsi="Arial"/>
          <w:color w:val="1A1A1A"/>
          <w:sz w:val="20"/>
          <w:szCs w:val="20"/>
        </w:rPr>
        <w:t xml:space="preserve">Healthcare data infrastructure, EHR interoperability, and AI compliance (HIPAA, SOC2)</w:t>
      </w:r>
    </w:p>
    <w:p>
      <w:pPr>
        <w:pStyle w:val="ListParagraph"/>
        <w:numPr>
          <w:ilvl w:val="0"/>
          <w:numId w:val="2"/>
        </w:numPr>
        <w:spacing w:after="40" w:before="40"/>
      </w:pPr>
      <w:r>
        <w:rPr>
          <w:rFonts w:ascii="Arial" w:cs="Arial" w:eastAsia="Arial" w:hAnsi="Arial"/>
          <w:color w:val="1A1A1A"/>
          <w:sz w:val="20"/>
          <w:szCs w:val="20"/>
        </w:rPr>
        <w:t xml:space="preserve">Early-stage and growth-stage health tech go-to-market execution</w:t>
      </w:r>
    </w:p>
    <w:p>
      <w:pPr>
        <w:pStyle w:val="ListParagraph"/>
        <w:numPr>
          <w:ilvl w:val="0"/>
          <w:numId w:val="2"/>
        </w:numPr>
        <w:spacing w:after="40" w:before="40"/>
      </w:pPr>
      <w:r>
        <w:rPr>
          <w:rFonts w:ascii="Arial" w:cs="Arial" w:eastAsia="Arial" w:hAnsi="Arial"/>
          <w:color w:val="1A1A1A"/>
          <w:sz w:val="20"/>
          <w:szCs w:val="20"/>
        </w:rPr>
        <w:t xml:space="preserve">Cross-functional alignment between product, commercial, and delivery organisations</w:t>
      </w:r>
    </w:p>
    <w:p>
      <w:pPr>
        <w:pStyle w:val="ListParagraph"/>
        <w:numPr>
          <w:ilvl w:val="0"/>
          <w:numId w:val="2"/>
        </w:numPr>
        <w:spacing w:after="40" w:before="40"/>
      </w:pPr>
      <w:r>
        <w:rPr>
          <w:rFonts w:ascii="Arial" w:cs="Arial" w:eastAsia="Arial" w:hAnsi="Arial"/>
          <w:color w:val="1A1A1A"/>
          <w:sz w:val="20"/>
          <w:szCs w:val="20"/>
        </w:rPr>
        <w:t xml:space="preserve">Executive stakeholder engagement and C-suite relationship management in enterprise sales</w:t>
      </w:r>
    </w:p>
    <w:p>
      <w:pPr>
        <w:spacing w:after="80" w:before="0"/>
      </w:pPr>
    </w:p>
    <w:p>
      <w:pPr>
        <w:spacing w:after="40" w:before="180"/>
      </w:pPr>
      <w:r>
        <w:rPr>
          <w:rFonts w:ascii="Arial" w:cs="Arial" w:eastAsia="Arial" w:hAnsi="Arial"/>
          <w:b/>
          <w:bCs/>
          <w:color w:val="1F3864"/>
          <w:sz w:val="22"/>
          <w:szCs w:val="22"/>
        </w:rPr>
        <w:t xml:space="preserve">SELECTED ENGAGEMENTS</w:t>
      </w:r>
    </w:p>
    <w:p>
      <w:pPr>
        <w:pBdr>
          <w:bottom w:val="single" w:color="2E5FA3" w:sz="8"/>
        </w:pBdr>
        <w:spacing w:after="80" w:before="0"/>
      </w:pPr>
    </w:p>
    <w:p>
      <w:pPr>
        <w:spacing w:after="40" w:before="80"/>
      </w:pPr>
      <w:r>
        <w:rPr>
          <w:rFonts w:ascii="Arial" w:cs="Arial" w:eastAsia="Arial" w:hAnsi="Arial"/>
          <w:b/>
          <w:bCs/>
          <w:color w:val="1A1A1A"/>
          <w:sz w:val="20"/>
          <w:szCs w:val="20"/>
        </w:rPr>
        <w:t xml:space="preserve">Notable Current Accounts: </w:t>
      </w:r>
      <w:r>
        <w:rPr>
          <w:rFonts w:ascii="Arial" w:cs="Arial" w:eastAsia="Arial" w:hAnsi="Arial"/>
          <w:color w:val="1A1A1A"/>
          <w:sz w:val="20"/>
          <w:szCs w:val="20"/>
        </w:rPr>
        <w:t xml:space="preserve">NextGen Healthcare, Duke Health, Envision Staffing, ABB Optical, Ohio Health, Fresenius Medical Care, Centauri Health, UMass Memorial, MetroHealth, American Family Care, Brightspring, Bayada, Jefferson Health, Piedmont, Dent Neurologic, EmergeOrtho</w:t>
      </w:r>
    </w:p>
    <w:p>
      <w:pPr>
        <w:spacing w:after="80" w:before="0"/>
      </w:pPr>
    </w:p>
    <w:p>
      <w:pPr>
        <w:spacing w:after="40" w:before="180"/>
      </w:pPr>
      <w:r>
        <w:rPr>
          <w:rFonts w:ascii="Arial" w:cs="Arial" w:eastAsia="Arial" w:hAnsi="Arial"/>
          <w:b/>
          <w:bCs/>
          <w:color w:val="1F3864"/>
          <w:sz w:val="22"/>
          <w:szCs w:val="22"/>
        </w:rPr>
        <w:t xml:space="preserve">EDUCATION</w:t>
      </w:r>
    </w:p>
    <w:p>
      <w:pPr>
        <w:pBdr>
          <w:bottom w:val="single" w:color="2E5FA3" w:sz="8"/>
        </w:pBdr>
        <w:spacing w:after="80" w:before="0"/>
      </w:pPr>
    </w:p>
    <w:p>
      <w:pPr>
        <w:spacing w:after="40" w:before="80"/>
      </w:pPr>
      <w:r>
        <w:rPr>
          <w:rFonts w:ascii="Arial" w:cs="Arial" w:eastAsia="Arial" w:hAnsi="Arial"/>
          <w:color w:val="1A1A1A"/>
          <w:sz w:val="20"/>
          <w:szCs w:val="20"/>
        </w:rPr>
        <w:t xml:space="preserve">AI &amp; Machine Learning Bootcamp, Caltech  |  2022–2023</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2026-03-28T21:27:27.983Z</dcterms:created>
  <dcterms:modified xsi:type="dcterms:W3CDTF">2026-03-28T21:27:27.983Z</dcterms:modified>
</cp:coreProperties>
</file>

<file path=docProps/custom.xml><?xml version="1.0" encoding="utf-8"?>
<Properties xmlns="http://schemas.openxmlformats.org/officeDocument/2006/custom-properties" xmlns:vt="http://schemas.openxmlformats.org/officeDocument/2006/docPropsVTypes"/>
</file>