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8"/>
          <w:szCs w:val="48"/>
        </w:rPr>
        <w:t xml:space="preserve">DANNY MATHIESON</w:t>
      </w:r>
    </w:p>
    <w:p>
      <w:pPr>
        <w:spacing w:after="20" w:before="0"/>
        <w:jc w:val="center"/>
      </w:pPr>
      <w:r>
        <w:rPr>
          <w:rFonts w:ascii="Arial" w:cs="Arial" w:eastAsia="Arial" w:hAnsi="Arial"/>
          <w:b/>
          <w:bCs/>
          <w:color w:val="2E5FA3"/>
          <w:sz w:val="22"/>
          <w:szCs w:val="22"/>
        </w:rPr>
        <w:t xml:space="preserve">Director, Sales Engineering  |  Smarter Technologies</w:t>
      </w:r>
    </w:p>
    <w:p>
      <w:pPr>
        <w:spacing w:after="20" w:before="0"/>
        <w:jc w:val="center"/>
      </w:pPr>
      <w:r>
        <w:rPr>
          <w:rFonts w:ascii="Arial" w:cs="Arial" w:eastAsia="Arial" w:hAnsi="Arial"/>
          <w:color w:val="555555"/>
          <w:sz w:val="18"/>
          <w:szCs w:val="18"/>
        </w:rPr>
        <w:t xml:space="preserve">Internal Impact &amp; Promotion Summary  |  2024–2026</w:t>
      </w:r>
    </w:p>
    <w:p>
      <w:pPr>
        <w:pBdr>
          <w:bottom w:val="single" w:color="1F3864" w:sz="14"/>
        </w:pBdr>
        <w:spacing w:after="80" w:before="0"/>
      </w:pPr>
    </w:p>
    <w:p>
      <w:pPr>
        <w:spacing w:after="80" w:before="0"/>
      </w:pPr>
    </w:p>
    <w:p>
      <w:pPr>
        <w:spacing w:after="40" w:before="180"/>
      </w:pPr>
      <w:r>
        <w:rPr>
          <w:rFonts w:ascii="Arial" w:cs="Arial" w:eastAsia="Arial" w:hAnsi="Arial"/>
          <w:b/>
          <w:bCs/>
          <w:color w:val="1F3864"/>
          <w:sz w:val="22"/>
          <w:szCs w:val="22"/>
        </w:rPr>
        <w:t xml:space="preserve">IMPACT STATEMENT</w:t>
      </w:r>
    </w:p>
    <w:p>
      <w:pPr>
        <w:pBdr>
          <w:bottom w:val="single" w:color="2E5FA3" w:sz="8"/>
        </w:pBdr>
        <w:spacing w:after="80" w:before="0"/>
      </w:pPr>
    </w:p>
    <w:p>
      <w:pPr>
        <w:spacing w:after="80" w:before="80"/>
      </w:pPr>
      <w:r>
        <w:rPr>
          <w:rFonts w:ascii="Arial" w:cs="Arial" w:eastAsia="Arial" w:hAnsi="Arial"/>
          <w:color w:val="1A1A1A"/>
          <w:sz w:val="20"/>
          <w:szCs w:val="20"/>
        </w:rPr>
        <w:t xml:space="preserve">Danny has operated well above the scope of a typical Director of Sales Engineering—functioning as a de facto commercial strategist, GTM architect, and cross-functional force multiplier. He manages a $15M+ active pipeline across 20 enterprise accounts while simultaneously building the frameworks, tools, and intelligence assets that enable the entire commercial organisation to sell more effectively. Commercial peers, AEs, and the CEO have each independently signalled trust in Danny's judgement and output quality.</w:t>
      </w:r>
    </w:p>
    <w:p>
      <w:pPr>
        <w:spacing w:after="40" w:before="0"/>
      </w:pPr>
    </w:p>
    <w:p>
      <w:pPr>
        <w:spacing w:after="40" w:before="180"/>
      </w:pPr>
      <w:r>
        <w:rPr>
          <w:rFonts w:ascii="Arial" w:cs="Arial" w:eastAsia="Arial" w:hAnsi="Arial"/>
          <w:b/>
          <w:bCs/>
          <w:color w:val="1F3864"/>
          <w:sz w:val="22"/>
          <w:szCs w:val="22"/>
        </w:rPr>
        <w:t xml:space="preserve">KEY CONTRIBUTIONS &amp; ACHIEVEMENTS</w:t>
      </w:r>
    </w:p>
    <w:p>
      <w:pPr>
        <w:pBdr>
          <w:bottom w:val="single" w:color="2E5FA3" w:sz="8"/>
        </w:pBdr>
        <w:spacing w:after="80" w:before="0"/>
      </w:pPr>
    </w:p>
    <w:p>
      <w:pPr>
        <w:spacing w:after="20" w:before="100"/>
      </w:pPr>
      <w:r>
        <w:rPr>
          <w:rFonts w:ascii="Arial" w:cs="Arial" w:eastAsia="Arial" w:hAnsi="Arial"/>
          <w:b/>
          <w:bCs/>
          <w:color w:val="1F3864"/>
          <w:sz w:val="21"/>
          <w:szCs w:val="21"/>
        </w:rPr>
        <w:t xml:space="preserve">GTM Infrastructure &amp; Commercial Strategy</w:t>
      </w:r>
    </w:p>
    <w:p>
      <w:pPr>
        <w:pStyle w:val="ListParagraph"/>
        <w:numPr>
          <w:ilvl w:val="0"/>
          <w:numId w:val="2"/>
        </w:numPr>
        <w:spacing w:after="40" w:before="40"/>
      </w:pPr>
      <w:r>
        <w:rPr>
          <w:rFonts w:ascii="Arial" w:cs="Arial" w:eastAsia="Arial" w:hAnsi="Arial"/>
          <w:color w:val="1A1A1A"/>
          <w:sz w:val="20"/>
          <w:szCs w:val="20"/>
        </w:rPr>
        <w:t xml:space="preserve">Authored the Competitive Landscape Field Intelligence Brief (March 2026)—analysed 2 quarters of prospect call data to surface positioning gaps and opportunities. Commercial team characterised it as the "blueprint for selling the product." Adopted by the Product Design team as an input to product planning.</w:t>
      </w:r>
    </w:p>
    <w:p>
      <w:pPr>
        <w:pStyle w:val="ListParagraph"/>
        <w:numPr>
          <w:ilvl w:val="0"/>
          <w:numId w:val="2"/>
        </w:numPr>
        <w:spacing w:after="40" w:before="40"/>
      </w:pPr>
      <w:r>
        <w:rPr>
          <w:rFonts w:ascii="Arial" w:cs="Arial" w:eastAsia="Arial" w:hAnsi="Arial"/>
          <w:color w:val="1A1A1A"/>
          <w:sz w:val="20"/>
          <w:szCs w:val="20"/>
        </w:rPr>
        <w:t xml:space="preserve">Co-built the GTM automation percentage estimation tool with Mandy Bortolotto and Kevin Field—enables commercial team to produce defensible ROI projections and pricing logic for multi-product enterprise deals.</w:t>
      </w:r>
    </w:p>
    <w:p>
      <w:pPr>
        <w:pStyle w:val="ListParagraph"/>
        <w:numPr>
          <w:ilvl w:val="0"/>
          <w:numId w:val="2"/>
        </w:numPr>
        <w:spacing w:after="40" w:before="40"/>
      </w:pPr>
      <w:r>
        <w:rPr>
          <w:rFonts w:ascii="Arial" w:cs="Arial" w:eastAsia="Arial" w:hAnsi="Arial"/>
          <w:color w:val="1A1A1A"/>
          <w:sz w:val="20"/>
          <w:szCs w:val="20"/>
        </w:rPr>
        <w:t xml:space="preserve">Built the MVP, Heat Map, and Version 2 demos for the GTM tool over a weekend, enabling time-sensitive commercial readiness for partner and prospect demonstrations. Mandy Bortolotto noted: "Danny was working magic over the weekend."</w:t>
      </w:r>
    </w:p>
    <w:p>
      <w:pPr>
        <w:pStyle w:val="ListParagraph"/>
        <w:numPr>
          <w:ilvl w:val="0"/>
          <w:numId w:val="2"/>
        </w:numPr>
        <w:spacing w:after="40" w:before="40"/>
      </w:pPr>
      <w:r>
        <w:rPr>
          <w:rFonts w:ascii="Arial" w:cs="Arial" w:eastAsia="Arial" w:hAnsi="Arial"/>
          <w:color w:val="1A1A1A"/>
          <w:sz w:val="20"/>
          <w:szCs w:val="20"/>
        </w:rPr>
        <w:t xml:space="preserve">Authored Ideal Customer Profile definitions for SmarterReceivables and SmarterEligibility—contributed EHR qualification criteria used in exec-level planning sessions and pre-read materials.</w:t>
      </w:r>
    </w:p>
    <w:p>
      <w:pPr>
        <w:pStyle w:val="ListParagraph"/>
        <w:numPr>
          <w:ilvl w:val="0"/>
          <w:numId w:val="2"/>
        </w:numPr>
        <w:spacing w:after="40" w:before="40"/>
      </w:pPr>
      <w:r>
        <w:rPr>
          <w:rFonts w:ascii="Arial" w:cs="Arial" w:eastAsia="Arial" w:hAnsi="Arial"/>
          <w:color w:val="1A1A1A"/>
          <w:sz w:val="20"/>
          <w:szCs w:val="20"/>
        </w:rPr>
        <w:t xml:space="preserve">Produced NextGen Perfect Customer Analysis for partner channel strategy; created FMOLHS opportunity brief with competitive teardown of incumbent solution (Janus).</w:t>
      </w:r>
    </w:p>
    <w:p>
      <w:pPr>
        <w:pStyle w:val="ListParagraph"/>
        <w:numPr>
          <w:ilvl w:val="0"/>
          <w:numId w:val="2"/>
        </w:numPr>
        <w:spacing w:after="40" w:before="40"/>
      </w:pPr>
      <w:r>
        <w:rPr>
          <w:rFonts w:ascii="Arial" w:cs="Arial" w:eastAsia="Arial" w:hAnsi="Arial"/>
          <w:color w:val="1A1A1A"/>
          <w:sz w:val="20"/>
          <w:szCs w:val="20"/>
        </w:rPr>
        <w:t xml:space="preserve">Curated a "Top 5 walkthrough" library for SmarterReceivables delivered to the Product Engineering team—translating live deal experience into structured product feedback.</w:t>
      </w:r>
    </w:p>
    <w:p>
      <w:pPr>
        <w:spacing w:after="20" w:before="100"/>
      </w:pPr>
      <w:r>
        <w:rPr>
          <w:rFonts w:ascii="Arial" w:cs="Arial" w:eastAsia="Arial" w:hAnsi="Arial"/>
          <w:b/>
          <w:bCs/>
          <w:color w:val="1F3864"/>
          <w:sz w:val="21"/>
          <w:szCs w:val="21"/>
        </w:rPr>
        <w:t xml:space="preserve">Pipeline &amp; Account Management</w:t>
      </w:r>
    </w:p>
    <w:p>
      <w:pPr>
        <w:pStyle w:val="ListParagraph"/>
        <w:numPr>
          <w:ilvl w:val="0"/>
          <w:numId w:val="2"/>
        </w:numPr>
        <w:spacing w:after="40" w:before="40"/>
      </w:pPr>
      <w:r>
        <w:rPr>
          <w:rFonts w:ascii="Arial" w:cs="Arial" w:eastAsia="Arial" w:hAnsi="Arial"/>
          <w:color w:val="1A1A1A"/>
          <w:sz w:val="20"/>
          <w:szCs w:val="20"/>
        </w:rPr>
        <w:t xml:space="preserve">20 active deals in parallel—including: NextGen ($2M, Contract Review), Duke Health ($1.5M, Scoping), Envision Staffing ($2.5M, Scoping), ABB Optical ($1.2M, Pricing), Centauri Health ($1M, Pricing), NVision ($1M, awaiting signature), Fresenius, Ohio Health, and 12+ additional accounts.</w:t>
      </w:r>
    </w:p>
    <w:p>
      <w:pPr>
        <w:pStyle w:val="ListParagraph"/>
        <w:numPr>
          <w:ilvl w:val="0"/>
          <w:numId w:val="2"/>
        </w:numPr>
        <w:spacing w:after="40" w:before="40"/>
      </w:pPr>
      <w:r>
        <w:rPr>
          <w:rFonts w:ascii="Arial" w:cs="Arial" w:eastAsia="Arial" w:hAnsi="Arial"/>
          <w:color w:val="1A1A1A"/>
          <w:sz w:val="20"/>
          <w:szCs w:val="20"/>
        </w:rPr>
        <w:t xml:space="preserve">Earned commission in Q4—two payments totalling approximately $14,800—confirming direct revenue attribution for closed business.</w:t>
      </w:r>
    </w:p>
    <w:p>
      <w:pPr>
        <w:pStyle w:val="ListParagraph"/>
        <w:numPr>
          <w:ilvl w:val="0"/>
          <w:numId w:val="2"/>
        </w:numPr>
        <w:spacing w:after="40" w:before="40"/>
      </w:pPr>
      <w:r>
        <w:rPr>
          <w:rFonts w:ascii="Arial" w:cs="Arial" w:eastAsia="Arial" w:hAnsi="Arial"/>
          <w:color w:val="1A1A1A"/>
          <w:sz w:val="20"/>
          <w:szCs w:val="20"/>
        </w:rPr>
        <w:t xml:space="preserve">Built a fully configured Jefferson Health staging environment (app.thoughtful-stg.ai) for tailored technical demonstrations, enabling a differentiated evaluation experience for a key strategic account.</w:t>
      </w:r>
    </w:p>
    <w:p>
      <w:pPr>
        <w:pStyle w:val="ListParagraph"/>
        <w:numPr>
          <w:ilvl w:val="0"/>
          <w:numId w:val="2"/>
        </w:numPr>
        <w:spacing w:after="40" w:before="40"/>
      </w:pPr>
      <w:r>
        <w:rPr>
          <w:rFonts w:ascii="Arial" w:cs="Arial" w:eastAsia="Arial" w:hAnsi="Arial"/>
          <w:color w:val="1A1A1A"/>
          <w:sz w:val="20"/>
          <w:szCs w:val="20"/>
        </w:rPr>
        <w:t xml:space="preserve">Led in-person executive presentation at MetroHealth with a C-suite audience including the Chief AI Officer, CFO, and COO—positioning Smarter Technologies at the highest level of organisational decision-making.</w:t>
      </w:r>
    </w:p>
    <w:p>
      <w:pPr>
        <w:pStyle w:val="ListParagraph"/>
        <w:numPr>
          <w:ilvl w:val="0"/>
          <w:numId w:val="2"/>
        </w:numPr>
        <w:spacing w:after="40" w:before="40"/>
      </w:pPr>
      <w:r>
        <w:rPr>
          <w:rFonts w:ascii="Arial" w:cs="Arial" w:eastAsia="Arial" w:hAnsi="Arial"/>
          <w:color w:val="1A1A1A"/>
          <w:sz w:val="20"/>
          <w:szCs w:val="20"/>
        </w:rPr>
        <w:t xml:space="preserve">Authored the NextGen Concern Memo—an executive-level risk analysis reviewed by CEO Alex Zekoff at an executive sync. Zekoff directed Nick Faber (AE) to review the memo prior to the exec meeting, signalling direct C-suite trust in Danny's commercial intelligence.</w:t>
      </w:r>
    </w:p>
    <w:p>
      <w:pPr>
        <w:pStyle w:val="ListParagraph"/>
        <w:numPr>
          <w:ilvl w:val="0"/>
          <w:numId w:val="2"/>
        </w:numPr>
        <w:spacing w:after="40" w:before="40"/>
      </w:pPr>
      <w:r>
        <w:rPr>
          <w:rFonts w:ascii="Arial" w:cs="Arial" w:eastAsia="Arial" w:hAnsi="Arial"/>
          <w:color w:val="1A1A1A"/>
          <w:sz w:val="20"/>
          <w:szCs w:val="20"/>
        </w:rPr>
        <w:t xml:space="preserve">Key technical point-of-contact across AEs: Nick Faber, Chris Pierce, Chris Spilker, Guyan Randall, Sid Mehta, Immanuel Arun—enabling a lean commercial team to run high volume. Chris Pierce noted: "I have no worries about the deals knowing you're involved!!"</w:t>
      </w:r>
    </w:p>
    <w:p>
      <w:pPr>
        <w:pStyle w:val="ListParagraph"/>
        <w:numPr>
          <w:ilvl w:val="0"/>
          <w:numId w:val="2"/>
        </w:numPr>
        <w:spacing w:after="40" w:before="40"/>
      </w:pPr>
      <w:r>
        <w:rPr>
          <w:rFonts w:ascii="Arial" w:cs="Arial" w:eastAsia="Arial" w:hAnsi="Arial"/>
          <w:color w:val="1A1A1A"/>
          <w:sz w:val="20"/>
          <w:szCs w:val="20"/>
        </w:rPr>
        <w:t xml:space="preserve">Delivered security and compliance diligence packages (SOC2, HIPAA attestation, BAA frameworks) to regulated procurement teams at UMass Memorial and others.</w:t>
      </w:r>
    </w:p>
    <w:p>
      <w:pPr>
        <w:spacing w:after="20" w:before="100"/>
      </w:pPr>
      <w:r>
        <w:rPr>
          <w:rFonts w:ascii="Arial" w:cs="Arial" w:eastAsia="Arial" w:hAnsi="Arial"/>
          <w:b/>
          <w:bCs/>
          <w:color w:val="1F3864"/>
          <w:sz w:val="21"/>
          <w:szCs w:val="21"/>
        </w:rPr>
        <w:t xml:space="preserve">Cross-Functional &amp; Organisational Leadership</w:t>
      </w:r>
    </w:p>
    <w:p>
      <w:pPr>
        <w:pStyle w:val="ListParagraph"/>
        <w:numPr>
          <w:ilvl w:val="0"/>
          <w:numId w:val="2"/>
        </w:numPr>
        <w:spacing w:after="40" w:before="40"/>
      </w:pPr>
      <w:r>
        <w:rPr>
          <w:rFonts w:ascii="Arial" w:cs="Arial" w:eastAsia="Arial" w:hAnsi="Arial"/>
          <w:color w:val="1A1A1A"/>
          <w:sz w:val="20"/>
          <w:szCs w:val="20"/>
        </w:rPr>
        <w:t xml:space="preserve">Operates directly with CEO, CCO, and VP Delivery on commercial strategy, deal structure, and product positioning—plugged in at the highest levels of the company.</w:t>
      </w:r>
    </w:p>
    <w:p>
      <w:pPr>
        <w:pStyle w:val="ListParagraph"/>
        <w:numPr>
          <w:ilvl w:val="0"/>
          <w:numId w:val="2"/>
        </w:numPr>
        <w:spacing w:after="40" w:before="40"/>
      </w:pPr>
      <w:r>
        <w:rPr>
          <w:rFonts w:ascii="Arial" w:cs="Arial" w:eastAsia="Arial" w:hAnsi="Arial"/>
          <w:color w:val="1A1A1A"/>
          <w:sz w:val="20"/>
          <w:szCs w:val="20"/>
        </w:rPr>
        <w:t xml:space="preserve">Named as one of two designated product SME certifiers for SmarterVerification by VP of Delivery Dan Parsons—responsible for certifying internal staff and partner-facing knowledge of the product.</w:t>
      </w:r>
    </w:p>
    <w:p>
      <w:pPr>
        <w:pStyle w:val="ListParagraph"/>
        <w:numPr>
          <w:ilvl w:val="0"/>
          <w:numId w:val="2"/>
        </w:numPr>
        <w:spacing w:after="40" w:before="40"/>
      </w:pPr>
      <w:r>
        <w:rPr>
          <w:rFonts w:ascii="Arial" w:cs="Arial" w:eastAsia="Arial" w:hAnsi="Arial"/>
          <w:color w:val="1A1A1A"/>
          <w:sz w:val="20"/>
          <w:szCs w:val="20"/>
        </w:rPr>
        <w:t xml:space="preserve">Owns Solutions Engineer hiring end-to-end: defines technical bar, advises recruiting partners, runs structured interviews portraying multiple customer personas (billing manager, CFO, AR specialist) to stress-test candidates at scale. Maintains a recurring "Solutions Engineering Candidate Sync" cadence.</w:t>
      </w:r>
    </w:p>
    <w:p>
      <w:pPr>
        <w:pStyle w:val="ListParagraph"/>
        <w:numPr>
          <w:ilvl w:val="0"/>
          <w:numId w:val="2"/>
        </w:numPr>
        <w:spacing w:after="40" w:before="40"/>
      </w:pPr>
      <w:r>
        <w:rPr>
          <w:rFonts w:ascii="Arial" w:cs="Arial" w:eastAsia="Arial" w:hAnsi="Arial"/>
          <w:color w:val="1A1A1A"/>
          <w:sz w:val="20"/>
          <w:szCs w:val="20"/>
        </w:rPr>
        <w:t xml:space="preserve">Facilitates new hire technical orientation sessions—translating complex product and workflow knowledge to onboarding cohorts across the organisation.</w:t>
      </w:r>
    </w:p>
    <w:p>
      <w:pPr>
        <w:pStyle w:val="ListParagraph"/>
        <w:numPr>
          <w:ilvl w:val="0"/>
          <w:numId w:val="2"/>
        </w:numPr>
        <w:spacing w:after="40" w:before="40"/>
      </w:pPr>
      <w:r>
        <w:rPr>
          <w:rFonts w:ascii="Arial" w:cs="Arial" w:eastAsia="Arial" w:hAnsi="Arial"/>
          <w:color w:val="1A1A1A"/>
          <w:sz w:val="20"/>
          <w:szCs w:val="20"/>
        </w:rPr>
        <w:t xml:space="preserve">Serves as primary liaison between Product (Lila Huizenga / Olivia Demir Hydari) and Commercial—channeling real-world deal intelligence into product decisions and ICP refinement.</w:t>
      </w:r>
    </w:p>
    <w:p>
      <w:pPr>
        <w:pStyle w:val="ListParagraph"/>
        <w:numPr>
          <w:ilvl w:val="0"/>
          <w:numId w:val="2"/>
        </w:numPr>
        <w:spacing w:after="40" w:before="40"/>
      </w:pPr>
      <w:r>
        <w:rPr>
          <w:rFonts w:ascii="Arial" w:cs="Arial" w:eastAsia="Arial" w:hAnsi="Arial"/>
          <w:color w:val="1A1A1A"/>
          <w:sz w:val="20"/>
          <w:szCs w:val="20"/>
        </w:rPr>
        <w:t xml:space="preserve">Co-created account mobility and sales solution process improvements with Kate Liu and the Sales Solutions team.</w:t>
      </w:r>
    </w:p>
    <w:p>
      <w:pPr>
        <w:spacing w:after="60" w:before="0"/>
      </w:pPr>
    </w:p>
    <w:p>
      <w:pPr>
        <w:spacing w:after="40" w:before="180"/>
      </w:pPr>
      <w:r>
        <w:rPr>
          <w:rFonts w:ascii="Arial" w:cs="Arial" w:eastAsia="Arial" w:hAnsi="Arial"/>
          <w:b/>
          <w:bCs/>
          <w:color w:val="1F3864"/>
          <w:sz w:val="22"/>
          <w:szCs w:val="22"/>
        </w:rPr>
        <w:t xml:space="preserve">SCOPE COMPARED TO TITLE</w:t>
      </w:r>
    </w:p>
    <w:p>
      <w:pPr>
        <w:pBdr>
          <w:bottom w:val="single" w:color="2E5FA3" w:sz="8"/>
        </w:pBdr>
        <w:spacing w:after="80" w:before="0"/>
      </w:pPr>
    </w:p>
    <w:p>
      <w:pPr>
        <w:spacing w:after="80" w:before="80"/>
      </w:pPr>
      <w:r>
        <w:rPr>
          <w:rFonts w:ascii="Arial" w:cs="Arial" w:eastAsia="Arial" w:hAnsi="Arial"/>
          <w:color w:val="1A1A1A"/>
          <w:sz w:val="20"/>
          <w:szCs w:val="20"/>
        </w:rPr>
        <w:t xml:space="preserve">The breadth of Danny's contribution routinely exceeds the Director of Sales Engineering scope. He is effectively functioning as:</w:t>
      </w:r>
    </w:p>
    <w:p>
      <w:pPr>
        <w:pStyle w:val="ListParagraph"/>
        <w:numPr>
          <w:ilvl w:val="0"/>
          <w:numId w:val="2"/>
        </w:numPr>
        <w:spacing w:after="40" w:before="40"/>
      </w:pPr>
      <w:r>
        <w:rPr>
          <w:rFonts w:ascii="Arial" w:cs="Arial" w:eastAsia="Arial" w:hAnsi="Arial"/>
          <w:color w:val="1A1A1A"/>
          <w:sz w:val="20"/>
          <w:szCs w:val="20"/>
        </w:rPr>
        <w:t xml:space="preserve">Head of Sales Engineering — building the function from the ground up, owning hiring end-to-end, and setting the technical bar for interview and certification</w:t>
      </w:r>
    </w:p>
    <w:p>
      <w:pPr>
        <w:pStyle w:val="ListParagraph"/>
        <w:numPr>
          <w:ilvl w:val="0"/>
          <w:numId w:val="2"/>
        </w:numPr>
        <w:spacing w:after="40" w:before="40"/>
      </w:pPr>
      <w:r>
        <w:rPr>
          <w:rFonts w:ascii="Arial" w:cs="Arial" w:eastAsia="Arial" w:hAnsi="Arial"/>
          <w:color w:val="1A1A1A"/>
          <w:sz w:val="20"/>
          <w:szCs w:val="20"/>
        </w:rPr>
        <w:t xml:space="preserve">GTM Strategist — producing company-level competitive intelligence, pricing frameworks, ICP definitions, and demo assets adopted organisation-wide</w:t>
      </w:r>
    </w:p>
    <w:p>
      <w:pPr>
        <w:pStyle w:val="ListParagraph"/>
        <w:numPr>
          <w:ilvl w:val="0"/>
          <w:numId w:val="2"/>
        </w:numPr>
        <w:spacing w:after="40" w:before="40"/>
      </w:pPr>
      <w:r>
        <w:rPr>
          <w:rFonts w:ascii="Arial" w:cs="Arial" w:eastAsia="Arial" w:hAnsi="Arial"/>
          <w:color w:val="1A1A1A"/>
          <w:sz w:val="20"/>
          <w:szCs w:val="20"/>
        </w:rPr>
        <w:t xml:space="preserve">Commercial Architect — working alongside C-suite to shape deal structure, pricing logic, and product positioning for major partnerships; memos reviewed at CEO level</w:t>
      </w:r>
    </w:p>
    <w:p>
      <w:pPr>
        <w:pStyle w:val="ListParagraph"/>
        <w:numPr>
          <w:ilvl w:val="0"/>
          <w:numId w:val="2"/>
        </w:numPr>
        <w:spacing w:after="40" w:before="40"/>
      </w:pPr>
      <w:r>
        <w:rPr>
          <w:rFonts w:ascii="Arial" w:cs="Arial" w:eastAsia="Arial" w:hAnsi="Arial"/>
          <w:color w:val="1A1A1A"/>
          <w:sz w:val="20"/>
          <w:szCs w:val="20"/>
        </w:rPr>
        <w:t xml:space="preserve">Product Intelligence Lead — translating 2 years of deal exposure into structured product feedback loops, walkthrough libraries, and market analysis</w:t>
      </w:r>
    </w:p>
    <w:p>
      <w:pPr>
        <w:pStyle w:val="ListParagraph"/>
        <w:numPr>
          <w:ilvl w:val="0"/>
          <w:numId w:val="2"/>
        </w:numPr>
        <w:spacing w:after="40" w:before="40"/>
      </w:pPr>
      <w:r>
        <w:rPr>
          <w:rFonts w:ascii="Arial" w:cs="Arial" w:eastAsia="Arial" w:hAnsi="Arial"/>
          <w:color w:val="1A1A1A"/>
          <w:sz w:val="20"/>
          <w:szCs w:val="20"/>
        </w:rPr>
        <w:t xml:space="preserve">Revenue Contributor — commission-earning SE operating as a direct line to closed revenue, not just a support function</w:t>
      </w:r>
    </w:p>
    <w:p>
      <w:pPr>
        <w:spacing w:after="60" w:before="0"/>
      </w:pPr>
    </w:p>
    <w:p>
      <w:pPr>
        <w:spacing w:after="40" w:before="180"/>
      </w:pPr>
      <w:r>
        <w:rPr>
          <w:rFonts w:ascii="Arial" w:cs="Arial" w:eastAsia="Arial" w:hAnsi="Arial"/>
          <w:b/>
          <w:bCs/>
          <w:color w:val="1F3864"/>
          <w:sz w:val="22"/>
          <w:szCs w:val="22"/>
        </w:rPr>
        <w:t xml:space="preserve">RECOGNITION &amp; PEER SIGNAL</w:t>
      </w:r>
    </w:p>
    <w:p>
      <w:pPr>
        <w:pBdr>
          <w:bottom w:val="single" w:color="2E5FA3" w:sz="8"/>
        </w:pBdr>
        <w:spacing w:after="80" w:before="0"/>
      </w:pPr>
    </w:p>
    <w:p>
      <w:pPr>
        <w:spacing w:after="60" w:before="80"/>
      </w:pPr>
      <w:r>
        <w:rPr>
          <w:rFonts w:ascii="Arial" w:cs="Arial" w:eastAsia="Arial" w:hAnsi="Arial"/>
          <w:color w:val="1A1A1A"/>
          <w:sz w:val="20"/>
          <w:szCs w:val="20"/>
        </w:rPr>
        <w:t xml:space="preserve">Unsolicited signals from across the organisation reflect Danny's outsised impact:</w:t>
      </w:r>
    </w:p>
    <w:p>
      <w:pPr>
        <w:pStyle w:val="ListParagraph"/>
        <w:numPr>
          <w:ilvl w:val="0"/>
          <w:numId w:val="2"/>
        </w:numPr>
        <w:spacing w:after="40" w:before="40"/>
      </w:pPr>
      <w:r>
        <w:rPr>
          <w:rFonts w:ascii="Arial" w:cs="Arial" w:eastAsia="Arial" w:hAnsi="Arial"/>
          <w:color w:val="1A1A1A"/>
          <w:sz w:val="20"/>
          <w:szCs w:val="20"/>
        </w:rPr>
        <w:t xml:space="preserve">"I have no worries about the deals knowing you're involved!!" — Chris Pierce, AE</w:t>
      </w:r>
    </w:p>
    <w:p>
      <w:pPr>
        <w:pStyle w:val="ListParagraph"/>
        <w:numPr>
          <w:ilvl w:val="0"/>
          <w:numId w:val="2"/>
        </w:numPr>
        <w:spacing w:after="40" w:before="40"/>
      </w:pPr>
      <w:r>
        <w:rPr>
          <w:rFonts w:ascii="Arial" w:cs="Arial" w:eastAsia="Arial" w:hAnsi="Arial"/>
          <w:color w:val="1A1A1A"/>
          <w:sz w:val="20"/>
          <w:szCs w:val="20"/>
        </w:rPr>
        <w:t xml:space="preserve">"Danny was working magic over the weekend" — Mandy Bortolotto, CX / AE, on GTM demo builds</w:t>
      </w:r>
    </w:p>
    <w:p>
      <w:pPr>
        <w:pStyle w:val="ListParagraph"/>
        <w:numPr>
          <w:ilvl w:val="0"/>
          <w:numId w:val="2"/>
        </w:numPr>
        <w:spacing w:after="40" w:before="40"/>
      </w:pPr>
      <w:r>
        <w:rPr>
          <w:rFonts w:ascii="Arial" w:cs="Arial" w:eastAsia="Arial" w:hAnsi="Arial"/>
          <w:color w:val="1A1A1A"/>
          <w:sz w:val="20"/>
          <w:szCs w:val="20"/>
        </w:rPr>
        <w:t xml:space="preserve">CEO Alex Zekoff directed AE to review Danny's NextGen Concern Memo at executive sync — direct C-suite trust in commercial analysis</w:t>
      </w:r>
    </w:p>
    <w:p>
      <w:pPr>
        <w:pStyle w:val="ListParagraph"/>
        <w:numPr>
          <w:ilvl w:val="0"/>
          <w:numId w:val="2"/>
        </w:numPr>
        <w:spacing w:after="40" w:before="40"/>
      </w:pPr>
      <w:r>
        <w:rPr>
          <w:rFonts w:ascii="Arial" w:cs="Arial" w:eastAsia="Arial" w:hAnsi="Arial"/>
          <w:color w:val="1A1A1A"/>
          <w:sz w:val="20"/>
          <w:szCs w:val="20"/>
        </w:rPr>
        <w:t xml:space="preserve">Named as certified product SME for SmarterVerification by VP Delivery Dan Parsons — one of two individuals designated company-wide</w:t>
      </w:r>
    </w:p>
    <w:p>
      <w:pPr>
        <w:spacing w:after="60" w:before="0"/>
      </w:pPr>
    </w:p>
    <w:p>
      <w:pPr>
        <w:spacing w:after="40" w:before="180"/>
      </w:pPr>
      <w:r>
        <w:rPr>
          <w:rFonts w:ascii="Arial" w:cs="Arial" w:eastAsia="Arial" w:hAnsi="Arial"/>
          <w:b/>
          <w:bCs/>
          <w:color w:val="1F3864"/>
          <w:sz w:val="22"/>
          <w:szCs w:val="22"/>
        </w:rPr>
        <w:t xml:space="preserve">FORWARD-LOOKING OPPORTUNITY</w:t>
      </w:r>
    </w:p>
    <w:p>
      <w:pPr>
        <w:pBdr>
          <w:bottom w:val="single" w:color="2E5FA3" w:sz="8"/>
        </w:pBdr>
        <w:spacing w:after="80" w:before="0"/>
      </w:pPr>
    </w:p>
    <w:p>
      <w:pPr>
        <w:spacing w:after="80" w:before="80"/>
      </w:pPr>
      <w:r>
        <w:rPr>
          <w:rFonts w:ascii="Arial" w:cs="Arial" w:eastAsia="Arial" w:hAnsi="Arial"/>
          <w:color w:val="1A1A1A"/>
          <w:sz w:val="20"/>
          <w:szCs w:val="20"/>
        </w:rPr>
        <w:t xml:space="preserve">With Smarter Technologies scaling its multi-product GTM motion and deepening partner channel relationships (NextGen, Access Healthcare), there is a clear case for Danny to step into a VP-level Solutions &amp; Commercial Strategy role. His combination of technical depth, strategic frameworks, direct revenue contribution, and executive relationships makes him uniquely positioned to own the end-to-end commercial readiness function—spanning pre-sales engineering, competitive strategy, pricing architecture, product feedback loops, and partner solutioning.</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2026-03-28T21:27:27.984Z</dcterms:created>
  <dcterms:modified xsi:type="dcterms:W3CDTF">2026-03-28T21:27:27.984Z</dcterms:modified>
</cp:coreProperties>
</file>

<file path=docProps/custom.xml><?xml version="1.0" encoding="utf-8"?>
<Properties xmlns="http://schemas.openxmlformats.org/officeDocument/2006/custom-properties" xmlns:vt="http://schemas.openxmlformats.org/officeDocument/2006/docPropsVTypes"/>
</file>