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52"/>
          <w:szCs w:val="52"/>
        </w:rPr>
        <w:t xml:space="preserve">DANNY MATHIESON</w:t>
      </w:r>
    </w:p>
    <w:p>
      <w:pPr>
        <w:spacing w:after="40" w:before="0"/>
        <w:jc w:val="center"/>
      </w:pPr>
      <w:r>
        <w:rPr>
          <w:rFonts w:ascii="Arial" w:cs="Arial" w:eastAsia="Arial" w:hAnsi="Arial"/>
          <w:color w:val="555555"/>
          <w:sz w:val="18"/>
          <w:szCs w:val="18"/>
        </w:rPr>
        <w:t xml:space="preserve">San Francisco, CA  |  danny.mathieson@thoughtful.ai  |  linkedin.com/in/danny-mathieson</w:t>
      </w:r>
    </w:p>
    <w:p>
      <w:pPr>
        <w:pBdr>
          <w:bottom w:val="single" w:color="2E5FA3" w:sz="12"/>
        </w:pBdr>
        <w:spacing w:after="80" w:before="0"/>
      </w:pPr>
    </w:p>
    <w:p>
      <w:pPr>
        <w:spacing w:after="60" w:before="0"/>
      </w:pPr>
    </w:p>
    <w:p>
      <w:pPr>
        <w:spacing w:after="40" w:before="180"/>
      </w:pPr>
      <w:r>
        <w:rPr>
          <w:rFonts w:ascii="Arial" w:cs="Arial" w:eastAsia="Arial" w:hAnsi="Arial"/>
          <w:b/>
          <w:bCs/>
          <w:color w:val="1F3864"/>
          <w:sz w:val="22"/>
          <w:szCs w:val="22"/>
        </w:rPr>
        <w:t xml:space="preserve">PROFESSIONAL SUMMARY</w:t>
      </w:r>
    </w:p>
    <w:p>
      <w:pPr>
        <w:pBdr>
          <w:bottom w:val="single" w:color="2E5FA3" w:sz="8"/>
        </w:pBdr>
        <w:spacing w:after="80" w:before="0"/>
      </w:pPr>
    </w:p>
    <w:p>
      <w:pPr>
        <w:spacing w:after="80" w:before="80"/>
      </w:pPr>
      <w:r>
        <w:rPr>
          <w:rFonts w:ascii="Arial" w:cs="Arial" w:eastAsia="Arial" w:hAnsi="Arial"/>
          <w:color w:val="1A1A1A"/>
          <w:sz w:val="20"/>
          <w:szCs w:val="20"/>
        </w:rPr>
        <w:t xml:space="preserve">Revenue-generating Solutions Engineering leader with deep expertise in healthcare AI and revenue cycle automation. Track record of building and closing enterprise pipeline across health systems, specialty practices, and ambulatory groups. Equally fluent in technical architecture, clinical workflow, and executive-level commercial strategy. Proven at bridging product and commercial teams—turning deal learnings into GTM frameworks, competitive intelligence, and pricing tools that scale across the whole sales organisation. Recognised by C-suite and commercial peers for operating above scope and delivering under pressure.</w:t>
      </w:r>
    </w:p>
    <w:p>
      <w:pPr>
        <w:spacing w:after="60" w:before="0"/>
      </w:pPr>
    </w:p>
    <w:p>
      <w:pPr>
        <w:spacing w:after="40" w:before="180"/>
      </w:pPr>
      <w:r>
        <w:rPr>
          <w:rFonts w:ascii="Arial" w:cs="Arial" w:eastAsia="Arial" w:hAnsi="Arial"/>
          <w:b/>
          <w:bCs/>
          <w:color w:val="1F3864"/>
          <w:sz w:val="22"/>
          <w:szCs w:val="22"/>
        </w:rPr>
        <w:t xml:space="preserve">EXPERIENCE</w:t>
      </w:r>
    </w:p>
    <w:p>
      <w:pPr>
        <w:pBdr>
          <w:bottom w:val="single" w:color="2E5FA3" w:sz="8"/>
        </w:pBdr>
        <w:spacing w:after="80" w:before="0"/>
      </w:pPr>
    </w:p>
    <w:p>
      <w:pPr>
        <w:tabs>
          <w:tab w:val="right" w:pos="9026"/>
        </w:tabs>
        <w:spacing w:after="20" w:before="120"/>
      </w:pPr>
      <w:r>
        <w:rPr>
          <w:rFonts w:ascii="Arial" w:cs="Arial" w:eastAsia="Arial" w:hAnsi="Arial"/>
          <w:b/>
          <w:bCs/>
          <w:color w:val="1F3864"/>
          <w:sz w:val="22"/>
          <w:szCs w:val="22"/>
        </w:rPr>
        <w:t xml:space="preserve">Director, Sales Engineering</w:t>
      </w:r>
      <w:r>
        <w:rPr>
          <w:rFonts w:ascii="Arial" w:cs="Arial" w:eastAsia="Arial" w:hAnsi="Arial"/>
          <w:color w:val="555555"/>
          <w:sz w:val="20"/>
          <w:szCs w:val="20"/>
        </w:rPr>
        <w:t xml:space="preserve">	2024 – Present</w:t>
      </w:r>
    </w:p>
    <w:p>
      <w:pPr>
        <w:spacing w:after="60" w:before="0"/>
      </w:pPr>
      <w:r>
        <w:rPr>
          <w:rFonts w:ascii="Arial" w:cs="Arial" w:eastAsia="Arial" w:hAnsi="Arial"/>
          <w:b/>
          <w:bCs/>
          <w:color w:val="2E5FA3"/>
          <w:sz w:val="20"/>
          <w:szCs w:val="20"/>
        </w:rPr>
        <w:t xml:space="preserve">Smarter Technologies  |  San Francisco, CA</w:t>
      </w:r>
    </w:p>
    <w:p>
      <w:pPr>
        <w:spacing w:after="60" w:before="0"/>
      </w:pPr>
      <w:r>
        <w:rPr>
          <w:rFonts w:ascii="Arial" w:cs="Arial" w:eastAsia="Arial" w:hAnsi="Arial"/>
          <w:color w:val="1A1A1A"/>
          <w:sz w:val="20"/>
          <w:szCs w:val="20"/>
        </w:rPr>
        <w:t xml:space="preserve">Pre-sales technical lead for a high-growth healthcare AI company delivering agentic automation across revenue cycle—eligibility, prior auth, AR follow-up, denials, and coding workflows. Manage $15M+ in active pipeline across 20+ enterprise accounts, earning commission on closed business.</w:t>
      </w:r>
    </w:p>
    <w:p>
      <w:pPr>
        <w:pStyle w:val="ListParagraph"/>
        <w:numPr>
          <w:ilvl w:val="0"/>
          <w:numId w:val="2"/>
        </w:numPr>
        <w:spacing w:after="40" w:before="40"/>
      </w:pPr>
      <w:r>
        <w:rPr>
          <w:rFonts w:ascii="Arial" w:cs="Arial" w:eastAsia="Arial" w:hAnsi="Arial"/>
          <w:color w:val="1A1A1A"/>
          <w:sz w:val="20"/>
          <w:szCs w:val="20"/>
        </w:rPr>
        <w:t xml:space="preserve">Designed and championed the Competitive Landscape Field Intelligence Brief (March 2026)—synthesised 2 quarters of sales call analysis into go-to-market positioning strategy adopted by the commercial team as the "blueprint for selling the product" and by the Product Design team as a product planning input.</w:t>
      </w:r>
    </w:p>
    <w:p>
      <w:pPr>
        <w:pStyle w:val="ListParagraph"/>
        <w:numPr>
          <w:ilvl w:val="0"/>
          <w:numId w:val="2"/>
        </w:numPr>
        <w:spacing w:after="40" w:before="40"/>
      </w:pPr>
      <w:r>
        <w:rPr>
          <w:rFonts w:ascii="Arial" w:cs="Arial" w:eastAsia="Arial" w:hAnsi="Arial"/>
          <w:color w:val="1A1A1A"/>
          <w:sz w:val="20"/>
          <w:szCs w:val="20"/>
        </w:rPr>
        <w:t xml:space="preserve">Built and co-led the GTM automation percentage estimation tool with VP Delivery and CCO, enabling the commercial team to produce defensible ROI projections and pricing logic for multi-product enterprise deals.</w:t>
      </w:r>
    </w:p>
    <w:p>
      <w:pPr>
        <w:pStyle w:val="ListParagraph"/>
        <w:numPr>
          <w:ilvl w:val="0"/>
          <w:numId w:val="2"/>
        </w:numPr>
        <w:spacing w:after="40" w:before="40"/>
      </w:pPr>
      <w:r>
        <w:rPr>
          <w:rFonts w:ascii="Arial" w:cs="Arial" w:eastAsia="Arial" w:hAnsi="Arial"/>
          <w:color w:val="1A1A1A"/>
          <w:sz w:val="20"/>
          <w:szCs w:val="20"/>
        </w:rPr>
        <w:t xml:space="preserve">Authored Ideal Customer Profile frameworks for SmarterReceivables and SmarterEligibility—contributed EHR/system-of-record qualification criteria adopted in exec-level GTM planning.</w:t>
      </w:r>
    </w:p>
    <w:p>
      <w:pPr>
        <w:pStyle w:val="ListParagraph"/>
        <w:numPr>
          <w:ilvl w:val="0"/>
          <w:numId w:val="2"/>
        </w:numPr>
        <w:spacing w:after="40" w:before="40"/>
      </w:pPr>
      <w:r>
        <w:rPr>
          <w:rFonts w:ascii="Arial" w:cs="Arial" w:eastAsia="Arial" w:hAnsi="Arial"/>
          <w:color w:val="1A1A1A"/>
          <w:sz w:val="20"/>
          <w:szCs w:val="20"/>
        </w:rPr>
        <w:t xml:space="preserve">Drove pre-sales discovery, scoping, and proposal delivery for marquee accounts including NextGen Healthcare ($2M), Duke Health ($1.5M), Envision Staffing ($2.5M), ABB Optical ($1.2M), Centauri Health ($1M), Ohio Health, Fresenius Medical Care, and MetroHealth—with in-person executive presentations to C-suite audiences (Chief AI Officer, CFO, COO).</w:t>
      </w:r>
    </w:p>
    <w:p>
      <w:pPr>
        <w:pStyle w:val="ListParagraph"/>
        <w:numPr>
          <w:ilvl w:val="0"/>
          <w:numId w:val="2"/>
        </w:numPr>
        <w:spacing w:after="40" w:before="40"/>
      </w:pPr>
      <w:r>
        <w:rPr>
          <w:rFonts w:ascii="Arial" w:cs="Arial" w:eastAsia="Arial" w:hAnsi="Arial"/>
          <w:color w:val="1A1A1A"/>
          <w:sz w:val="20"/>
          <w:szCs w:val="20"/>
        </w:rPr>
        <w:t xml:space="preserve">Built prospect-specific demo environments for strategic accounts, including a fully configured Jefferson Health staging environment (app.thoughtful-stg.ai)—enabling tailored technical walkthroughs at the point of evaluation.</w:t>
      </w:r>
    </w:p>
    <w:p>
      <w:pPr>
        <w:pStyle w:val="ListParagraph"/>
        <w:numPr>
          <w:ilvl w:val="0"/>
          <w:numId w:val="2"/>
        </w:numPr>
        <w:spacing w:after="40" w:before="40"/>
      </w:pPr>
      <w:r>
        <w:rPr>
          <w:rFonts w:ascii="Arial" w:cs="Arial" w:eastAsia="Arial" w:hAnsi="Arial"/>
          <w:color w:val="1A1A1A"/>
          <w:sz w:val="20"/>
          <w:szCs w:val="20"/>
        </w:rPr>
        <w:t xml:space="preserve">Named as a certified product SME for SmarterVerification by the VP of Delivery—one of two individuals designated to certify internal and partner-facing knowledge of the product.</w:t>
      </w:r>
    </w:p>
    <w:p>
      <w:pPr>
        <w:pStyle w:val="ListParagraph"/>
        <w:numPr>
          <w:ilvl w:val="0"/>
          <w:numId w:val="2"/>
        </w:numPr>
        <w:spacing w:after="40" w:before="40"/>
      </w:pPr>
      <w:r>
        <w:rPr>
          <w:rFonts w:ascii="Arial" w:cs="Arial" w:eastAsia="Arial" w:hAnsi="Arial"/>
          <w:color w:val="1A1A1A"/>
          <w:sz w:val="20"/>
          <w:szCs w:val="20"/>
        </w:rPr>
        <w:t xml:space="preserve">Owns Solutions Engineer hiring end-to-end: defines technical bar, advises recruiters, runs structured technical interviews portraying multiple customer personas (billing manager, CFO, AR specialist) to stress-test candidates.</w:t>
      </w:r>
    </w:p>
    <w:p>
      <w:pPr>
        <w:pStyle w:val="ListParagraph"/>
        <w:numPr>
          <w:ilvl w:val="0"/>
          <w:numId w:val="2"/>
        </w:numPr>
        <w:spacing w:after="40" w:before="40"/>
      </w:pPr>
      <w:r>
        <w:rPr>
          <w:rFonts w:ascii="Arial" w:cs="Arial" w:eastAsia="Arial" w:hAnsi="Arial"/>
          <w:color w:val="1A1A1A"/>
          <w:sz w:val="20"/>
          <w:szCs w:val="20"/>
        </w:rPr>
        <w:t xml:space="preserve">Produced prospect-specific strategic analyses including NextGen Perfect Customer Analysis and FMOLHS opportunity brief with competitive teardown of incumbent solution.</w:t>
      </w:r>
    </w:p>
    <w:p>
      <w:pPr>
        <w:pStyle w:val="ListParagraph"/>
        <w:numPr>
          <w:ilvl w:val="0"/>
          <w:numId w:val="2"/>
        </w:numPr>
        <w:spacing w:after="40" w:before="40"/>
      </w:pPr>
      <w:r>
        <w:rPr>
          <w:rFonts w:ascii="Arial" w:cs="Arial" w:eastAsia="Arial" w:hAnsi="Arial"/>
          <w:color w:val="1A1A1A"/>
          <w:sz w:val="20"/>
          <w:szCs w:val="20"/>
        </w:rPr>
        <w:t xml:space="preserve">Authored concern memos reviewed directly by CEO at executive syncs, demonstrating C-suite trust in commercial risk analysis.</w:t>
      </w:r>
    </w:p>
    <w:p>
      <w:pPr>
        <w:pStyle w:val="ListParagraph"/>
        <w:numPr>
          <w:ilvl w:val="0"/>
          <w:numId w:val="2"/>
        </w:numPr>
        <w:spacing w:after="40" w:before="40"/>
      </w:pPr>
      <w:r>
        <w:rPr>
          <w:rFonts w:ascii="Arial" w:cs="Arial" w:eastAsia="Arial" w:hAnsi="Arial"/>
          <w:color w:val="1A1A1A"/>
          <w:sz w:val="20"/>
          <w:szCs w:val="20"/>
        </w:rPr>
        <w:t xml:space="preserve">Established security and compliance proof points (SOC2, HIPAA attestation, BAA frameworks) for regulated enterprise procurement processes.</w:t>
      </w:r>
    </w:p>
    <w:p>
      <w:pPr>
        <w:spacing w:after="60" w:before="0"/>
      </w:pPr>
    </w:p>
    <w:p>
      <w:pPr>
        <w:tabs>
          <w:tab w:val="right" w:pos="9026"/>
        </w:tabs>
        <w:spacing w:after="20" w:before="80"/>
      </w:pPr>
      <w:r>
        <w:rPr>
          <w:rFonts w:ascii="Arial" w:cs="Arial" w:eastAsia="Arial" w:hAnsi="Arial"/>
          <w:b/>
          <w:bCs/>
          <w:color w:val="1F3864"/>
          <w:sz w:val="22"/>
          <w:szCs w:val="22"/>
        </w:rPr>
        <w:t xml:space="preserve">Senior Director</w:t>
      </w:r>
      <w:r>
        <w:rPr>
          <w:rFonts w:ascii="Arial" w:cs="Arial" w:eastAsia="Arial" w:hAnsi="Arial"/>
          <w:color w:val="555555"/>
          <w:sz w:val="20"/>
          <w:szCs w:val="20"/>
        </w:rPr>
        <w:t xml:space="preserve">	Prior</w:t>
      </w:r>
    </w:p>
    <w:p>
      <w:pPr>
        <w:spacing w:after="60" w:before="0"/>
      </w:pPr>
      <w:r>
        <w:rPr>
          <w:rFonts w:ascii="Arial" w:cs="Arial" w:eastAsia="Arial" w:hAnsi="Arial"/>
          <w:b/>
          <w:bCs/>
          <w:color w:val="2E5FA3"/>
          <w:sz w:val="20"/>
          <w:szCs w:val="20"/>
        </w:rPr>
        <w:t xml:space="preserve">Action Network</w:t>
      </w:r>
    </w:p>
    <w:p>
      <w:pPr>
        <w:spacing w:after="80" w:before="0"/>
      </w:pPr>
      <w:r>
        <w:rPr>
          <w:rFonts w:ascii="Arial" w:cs="Arial" w:eastAsia="Arial" w:hAnsi="Arial"/>
          <w:color w:val="1A1A1A"/>
          <w:sz w:val="20"/>
          <w:szCs w:val="20"/>
        </w:rPr>
        <w:t xml:space="preserve">Senior leader at a tech platform serving progressive advocacy organisations. Drove strategic initiatives across product, partnerships, and customer success.</w:t>
      </w:r>
    </w:p>
    <w:p>
      <w:pPr>
        <w:spacing w:after="40" w:before="0"/>
      </w:pPr>
    </w:p>
    <w:p>
      <w:pPr>
        <w:spacing w:after="40" w:before="180"/>
      </w:pPr>
      <w:r>
        <w:rPr>
          <w:rFonts w:ascii="Arial" w:cs="Arial" w:eastAsia="Arial" w:hAnsi="Arial"/>
          <w:b/>
          <w:bCs/>
          <w:color w:val="1F3864"/>
          <w:sz w:val="22"/>
          <w:szCs w:val="22"/>
        </w:rPr>
        <w:t xml:space="preserve">CORE COMPETENCIES</w:t>
      </w:r>
    </w:p>
    <w:p>
      <w:pPr>
        <w:pBdr>
          <w:bottom w:val="single" w:color="2E5FA3" w:sz="8"/>
        </w:pBdr>
        <w:spacing w:after="80" w:before="0"/>
      </w:pPr>
    </w:p>
    <w:p>
      <w:pPr>
        <w:spacing w:after="40" w:before="80"/>
      </w:pPr>
      <w:r>
        <w:rPr>
          <w:rFonts w:ascii="Arial" w:cs="Arial" w:eastAsia="Arial" w:hAnsi="Arial"/>
          <w:color w:val="1A1A1A"/>
          <w:sz w:val="20"/>
          <w:szCs w:val="20"/>
        </w:rPr>
        <w:t xml:space="preserve">Solutions Engineering &amp; Pre-Sales  |  Healthcare Revenue Cycle AI  |  Enterprise Pipeline Management  |  Competitive Intelligence  |  Ideal Customer Profiling  |  ROI &amp; Pricing Modelling  |  GTM Frameworks  |  Demo Environment Architecture  |  Prior Auth &amp; Eligibility Workflows  |  Epic / NextGen / Oracle EHR Ecosystems  |  HIPAA &amp; SOC2 Compliance  |  SE Team Hiring &amp; Development  |  Executive Stakeholder Engagement</w:t>
      </w:r>
    </w:p>
    <w:p>
      <w:pPr>
        <w:spacing w:after="40" w:before="0"/>
      </w:pPr>
    </w:p>
    <w:p>
      <w:pPr>
        <w:spacing w:after="40" w:before="180"/>
      </w:pPr>
      <w:r>
        <w:rPr>
          <w:rFonts w:ascii="Arial" w:cs="Arial" w:eastAsia="Arial" w:hAnsi="Arial"/>
          <w:b/>
          <w:bCs/>
          <w:color w:val="1F3864"/>
          <w:sz w:val="22"/>
          <w:szCs w:val="22"/>
        </w:rPr>
        <w:t xml:space="preserve">EDUCATION &amp; CERTIFICATIONS</w:t>
      </w:r>
    </w:p>
    <w:p>
      <w:pPr>
        <w:pBdr>
          <w:bottom w:val="single" w:color="2E5FA3" w:sz="8"/>
        </w:pBdr>
        <w:spacing w:after="80" w:before="0"/>
      </w:pPr>
    </w:p>
    <w:p>
      <w:pPr>
        <w:tabs>
          <w:tab w:val="right" w:pos="9026"/>
        </w:tabs>
        <w:spacing w:after="40" w:before="80"/>
      </w:pPr>
      <w:r>
        <w:rPr>
          <w:rFonts w:ascii="Arial" w:cs="Arial" w:eastAsia="Arial" w:hAnsi="Arial"/>
          <w:b/>
          <w:bCs/>
          <w:color w:val="1A1A1A"/>
          <w:sz w:val="20"/>
          <w:szCs w:val="20"/>
        </w:rPr>
        <w:t xml:space="preserve">AI &amp; Machine Learning Bootcamp – Caltech</w:t>
      </w:r>
      <w:r>
        <w:rPr>
          <w:rFonts w:ascii="Arial" w:cs="Arial" w:eastAsia="Arial" w:hAnsi="Arial"/>
          <w:color w:val="555555"/>
          <w:sz w:val="20"/>
          <w:szCs w:val="20"/>
        </w:rPr>
        <w:t xml:space="preserve">	2022 – 2023</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2026-03-28T21:27:27.979Z</dcterms:created>
  <dcterms:modified xsi:type="dcterms:W3CDTF">2026-03-28T21:27:27.979Z</dcterms:modified>
</cp:coreProperties>
</file>

<file path=docProps/custom.xml><?xml version="1.0" encoding="utf-8"?>
<Properties xmlns="http://schemas.openxmlformats.org/officeDocument/2006/custom-properties" xmlns:vt="http://schemas.openxmlformats.org/officeDocument/2006/docPropsVTypes"/>
</file>