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240" w:after="120"/>
      </w:pPr>
      <w:r>
        <w:rPr>
          <w:b/>
          <w:color w:val="000000"/>
          <w:sz w:val="28"/>
        </w:rPr>
        <w:t>Objective</w:t>
      </w:r>
    </w:p>
    <w:p>
      <w:pPr>
        <w:spacing w:before="0" w:after="200"/>
      </w:pPr>
      <w:r>
        <w:t xml:space="preserve">AI agents operate without governed identity. They access sensitive systems, execute privileged actions, and leave no audit trail. The purpose of this proof of value is to demonstrate that AppViewX Agent Identity Security can govern, discover, and secure your entire AI agent environment within 30 days. At the conclusion of the POV, your security and engineering leadership will have a complete governance layer across all active agent platforms: full inventory, enforced access policy, and an audit trail that satisfies compliance requirements.</w:t>
      </w:r>
    </w:p>
    <w:p>
      <w:pPr>
        <w:pStyle w:val="Heading1"/>
        <w:spacing w:before="240" w:after="120"/>
      </w:pPr>
      <w:r>
        <w:rPr>
          <w:b/>
          <w:color w:val="000000"/>
          <w:sz w:val="28"/>
        </w:rPr>
        <w:t>Agent platforms in scope</w:t>
      </w:r>
    </w:p>
    <w:p>
      <w:pPr>
        <w:spacing w:before="0" w:after="80"/>
      </w:pPr>
      <w:r>
        <w:t>To be defined with your team during onboarding. AppViewX Agent Identity Security supports:</w:t>
      </w:r>
    </w:p>
    <w:p>
      <w:pPr>
        <w:spacing w:before="40" w:after="40"/>
        <w:ind w:left="360"/>
      </w:pPr>
      <w:r>
        <w:t>Coding agents: Claude Code, Cursor, GitHub Copilot, OpenAI Codex</w:t>
      </w:r>
    </w:p>
    <w:p>
      <w:pPr>
        <w:spacing w:before="40" w:after="40"/>
        <w:ind w:left="360"/>
      </w:pPr>
      <w:r>
        <w:t>SaaS AI agents: Salesforce Agentforce, Microsoft Copilot Studio, ServiceNow</w:t>
      </w:r>
    </w:p>
    <w:p>
      <w:pPr>
        <w:spacing w:before="40" w:after="40"/>
        <w:ind w:left="360"/>
      </w:pPr>
      <w:r>
        <w:t>AI assistants and APIs: ChatGPT, Gemini, Claude, OpenAI API, AWS Bedrock</w:t>
      </w:r>
    </w:p>
    <w:p>
      <w:pPr>
        <w:spacing w:before="40" w:after="200"/>
        <w:ind w:left="360"/>
      </w:pPr>
      <w:r>
        <w:t>Custom and homegrown agent platforms</w:t>
      </w:r>
    </w:p>
    <w:p>
      <w:pPr>
        <w:pStyle w:val="Heading1"/>
        <w:spacing w:before="240" w:after="120"/>
      </w:pPr>
      <w:r>
        <w:rPr>
          <w:b/>
          <w:color w:val="000000"/>
          <w:sz w:val="28"/>
        </w:rPr>
        <w:t>Use cases</w:t>
      </w:r>
    </w:p>
    <w:p>
      <w:pPr>
        <w:spacing w:before="40" w:after="40"/>
        <w:ind w:left="360"/>
      </w:pPr>
      <w:r>
        <w:t>Governance: define and enforce policy across your entire agent population -- who owns each agent, what it is permitted to access, and what posture it must maintain</w:t>
      </w:r>
    </w:p>
    <w:p>
      <w:pPr>
        <w:spacing w:before="40" w:after="40"/>
        <w:ind w:left="360"/>
      </w:pPr>
      <w:r>
        <w:t>Agent discovery and inventory: full AI bill of materials across coding agents, workflow agents, SaaS AI platforms, and custom-built agent environments</w:t>
      </w:r>
    </w:p>
    <w:p>
      <w:pPr>
        <w:spacing w:before="40" w:after="40"/>
        <w:ind w:left="360"/>
      </w:pPr>
      <w:r>
        <w:t>Privileged access control: runtime enforcement of agent privileges at the moment of execution -- just-in-time access, standing privilege elimination, and real-time blocking of unauthorized actions</w:t>
      </w:r>
    </w:p>
    <w:p>
      <w:pPr>
        <w:spacing w:before="40" w:after="40"/>
        <w:ind w:left="360"/>
      </w:pPr>
      <w:r>
        <w:t>Compliance mapping: NIST AI RMF, EU AI Act posture assessment for all discovered agents</w:t>
      </w:r>
    </w:p>
    <w:p>
      <w:pPr>
        <w:spacing w:before="40" w:after="200"/>
        <w:ind w:left="360"/>
      </w:pPr>
      <w:r>
        <w:t>Agent lifecycle management: ownership, onboarding, offboarding, and transfer workflows</w:t>
      </w:r>
    </w:p>
    <w:p>
      <w:pPr>
        <w:pStyle w:val="Heading1"/>
        <w:spacing w:before="240" w:after="120"/>
      </w:pPr>
      <w:r>
        <w:rPr>
          <w:b/>
          <w:color w:val="000000"/>
          <w:sz w:val="28"/>
        </w:rPr>
        <w:t>30-day phase plan</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800"/>
        <w:gridCol w:w="4680"/>
        <w:gridCol w:w="2880"/>
      </w:tblGrid>
      <w:tr>
        <w:tc>
          <w:tcPr>
            <w:tcW w:w="1800" w:type="dxa"/>
            <w:shd w:val="clear" w:color="auto" w:fill="222222"/>
            <w:tcMar>
              <w:top w:w="100" w:type="dxa"/>
              <w:left w:w="120" w:type="dxa"/>
              <w:bottom w:w="100" w:type="dxa"/>
              <w:right w:w="120" w:type="dxa"/>
            </w:tcMar>
          </w:tcPr>
          <w:p>
            <w:r>
              <w:rPr>
                <w:b/>
                <w:color w:val="FFFFFF"/>
                <w:sz w:val="20"/>
              </w:rPr>
              <w:t>Phase</w:t>
            </w:r>
          </w:p>
        </w:tc>
        <w:tc>
          <w:tcPr>
            <w:tcW w:w="4680" w:type="dxa"/>
            <w:shd w:val="clear" w:color="auto" w:fill="222222"/>
            <w:tcMar>
              <w:top w:w="100" w:type="dxa"/>
              <w:left w:w="120" w:type="dxa"/>
              <w:bottom w:w="100" w:type="dxa"/>
              <w:right w:w="120" w:type="dxa"/>
            </w:tcMar>
          </w:tcPr>
          <w:p>
            <w:r>
              <w:rPr>
                <w:b/>
                <w:color w:val="FFFFFF"/>
                <w:sz w:val="20"/>
              </w:rPr>
              <w:t>Activities</w:t>
            </w:r>
          </w:p>
        </w:tc>
        <w:tc>
          <w:tcPr>
            <w:tcW w:w="2880" w:type="dxa"/>
            <w:shd w:val="clear" w:color="auto" w:fill="222222"/>
            <w:tcMar>
              <w:top w:w="100" w:type="dxa"/>
              <w:left w:w="120" w:type="dxa"/>
              <w:bottom w:w="100" w:type="dxa"/>
              <w:right w:w="120" w:type="dxa"/>
            </w:tcMar>
          </w:tcPr>
          <w:p>
            <w:r>
              <w:rPr>
                <w:b/>
                <w:color w:val="FFFFFF"/>
                <w:sz w:val="20"/>
              </w:rPr>
              <w:t>Deliverables</w:t>
            </w:r>
          </w:p>
        </w:tc>
      </w:tr>
      <w:tr>
        <w:tc>
          <w:tcPr>
            <w:tcW w:w="1800" w:type="dxa"/>
            <w:shd w:val="clear" w:color="auto" w:fill="F2F2F2"/>
            <w:tcMar>
              <w:top w:w="100" w:type="dxa"/>
              <w:left w:w="120" w:type="dxa"/>
              <w:bottom w:w="100" w:type="dxa"/>
              <w:right w:w="120" w:type="dxa"/>
            </w:tcMar>
          </w:tcPr>
          <w:p>
            <w:r>
              <w:rPr>
                <w:b/>
                <w:sz w:val="20"/>
              </w:rPr>
              <w:t>Week 1</w:t>
            </w:r>
          </w:p>
          <w:p>
            <w:r>
              <w:rPr>
                <w:b/>
                <w:color w:val="000000"/>
                <w:sz w:val="20"/>
              </w:rPr>
              <w:t>Deploy and Discover</w:t>
            </w:r>
          </w:p>
        </w:tc>
        <w:tc>
          <w:tcPr>
            <w:tcW w:w="4680" w:type="dxa"/>
            <w:tcMar>
              <w:top w:w="100" w:type="dxa"/>
              <w:left w:w="120" w:type="dxa"/>
              <w:bottom w:w="100" w:type="dxa"/>
              <w:right w:w="120" w:type="dxa"/>
            </w:tcMar>
          </w:tcPr>
          <w:p>
            <w:r>
              <w:rPr>
                <w:sz w:val="20"/>
              </w:rPr>
              <w:t>Deploy the AppViewX agent sensor across developer endpoints and connect integrations across all agent platforms in scope. Generate a full AI bill of materials: every agent, its owner, connected MCP servers, credentials in use, and LLM models.</w:t>
            </w:r>
          </w:p>
        </w:tc>
        <w:tc>
          <w:tcPr>
            <w:tcW w:w="2880" w:type="dxa"/>
            <w:tcMar>
              <w:top w:w="100" w:type="dxa"/>
              <w:left w:w="120" w:type="dxa"/>
              <w:bottom w:w="100" w:type="dxa"/>
              <w:right w:w="120" w:type="dxa"/>
            </w:tcMar>
          </w:tcPr>
          <w:p>
            <w:r>
              <w:rPr>
                <w:sz w:val="20"/>
              </w:rPr>
              <w:t>Agent inventory report</w:t>
            </w:r>
          </w:p>
          <w:p>
            <w:r>
              <w:rPr>
                <w:sz w:val="20"/>
              </w:rPr>
              <w:t>Initial risk profile dashboard</w:t>
            </w:r>
          </w:p>
        </w:tc>
      </w:tr>
      <w:tr>
        <w:tc>
          <w:tcPr>
            <w:tcW w:w="1800" w:type="dxa"/>
            <w:shd w:val="clear" w:color="auto" w:fill="F2F2F2"/>
            <w:tcMar>
              <w:top w:w="100" w:type="dxa"/>
              <w:left w:w="120" w:type="dxa"/>
              <w:bottom w:w="100" w:type="dxa"/>
              <w:right w:w="120" w:type="dxa"/>
            </w:tcMar>
          </w:tcPr>
          <w:p>
            <w:r>
              <w:rPr>
                <w:b/>
                <w:sz w:val="20"/>
              </w:rPr>
              <w:t>Week 2</w:t>
            </w:r>
          </w:p>
          <w:p>
            <w:r>
              <w:rPr>
                <w:b/>
                <w:color w:val="000000"/>
                <w:sz w:val="20"/>
              </w:rPr>
              <w:t>Govern and Assess</w:t>
            </w:r>
          </w:p>
        </w:tc>
        <w:tc>
          <w:tcPr>
            <w:tcW w:w="4680" w:type="dxa"/>
            <w:tcMar>
              <w:top w:w="100" w:type="dxa"/>
              <w:left w:w="120" w:type="dxa"/>
              <w:bottom w:w="100" w:type="dxa"/>
              <w:right w:w="120" w:type="dxa"/>
            </w:tcMar>
          </w:tcPr>
          <w:p>
            <w:r>
              <w:rPr>
                <w:sz w:val="20"/>
              </w:rPr>
              <w:t>Run continuous posture analysis across all discovered agents. Map findings to compliance frameworks. Identify unowned agents, shared credentials, unauthorized MCP server connections, and over-permissioned access scopes. Mid-point check-in with security and engineering leads.</w:t>
            </w:r>
          </w:p>
        </w:tc>
        <w:tc>
          <w:tcPr>
            <w:tcW w:w="2880" w:type="dxa"/>
            <w:tcMar>
              <w:top w:w="100" w:type="dxa"/>
              <w:left w:w="120" w:type="dxa"/>
              <w:bottom w:w="100" w:type="dxa"/>
              <w:right w:w="120" w:type="dxa"/>
            </w:tcMar>
          </w:tcPr>
          <w:p>
            <w:r>
              <w:rPr>
                <w:sz w:val="20"/>
              </w:rPr>
              <w:t>Posture findings report</w:t>
            </w:r>
          </w:p>
          <w:p>
            <w:r>
              <w:rPr>
                <w:sz w:val="20"/>
              </w:rPr>
              <w:t>Compliance gap analysis (NIST AI RMF, EU AI Act)</w:t>
            </w:r>
          </w:p>
        </w:tc>
      </w:tr>
      <w:tr>
        <w:tc>
          <w:tcPr>
            <w:tcW w:w="1800" w:type="dxa"/>
            <w:shd w:val="clear" w:color="auto" w:fill="F2F2F2"/>
            <w:tcMar>
              <w:top w:w="100" w:type="dxa"/>
              <w:left w:w="120" w:type="dxa"/>
              <w:bottom w:w="100" w:type="dxa"/>
              <w:right w:w="120" w:type="dxa"/>
            </w:tcMar>
          </w:tcPr>
          <w:p>
            <w:r>
              <w:rPr>
                <w:b/>
                <w:sz w:val="20"/>
              </w:rPr>
              <w:t>Week 3</w:t>
            </w:r>
          </w:p>
          <w:p>
            <w:r>
              <w:rPr>
                <w:b/>
                <w:color w:val="000000"/>
                <w:sz w:val="20"/>
              </w:rPr>
              <w:t>Secure and Enforce</w:t>
            </w:r>
          </w:p>
        </w:tc>
        <w:tc>
          <w:tcPr>
            <w:tcW w:w="4680" w:type="dxa"/>
            <w:tcMar>
              <w:top w:w="100" w:type="dxa"/>
              <w:left w:w="120" w:type="dxa"/>
              <w:bottom w:w="100" w:type="dxa"/>
              <w:right w:w="120" w:type="dxa"/>
            </w:tcMar>
          </w:tcPr>
          <w:p>
            <w:r>
              <w:rPr>
                <w:sz w:val="20"/>
              </w:rPr>
              <w:t>Define and activate runtime access policies for high-risk agents. Configure the MCP gateway with just-in-time access, eliminating standing privileges. Demonstrate real-time blocking of unauthorized access to sensitive files and credentials. Activate agent lifecycle workflows.</w:t>
            </w:r>
          </w:p>
        </w:tc>
        <w:tc>
          <w:tcPr>
            <w:tcW w:w="2880" w:type="dxa"/>
            <w:tcMar>
              <w:top w:w="100" w:type="dxa"/>
              <w:left w:w="120" w:type="dxa"/>
              <w:bottom w:w="100" w:type="dxa"/>
              <w:right w:w="120" w:type="dxa"/>
            </w:tcMar>
          </w:tcPr>
          <w:p>
            <w:r>
              <w:rPr>
                <w:sz w:val="20"/>
              </w:rPr>
              <w:t>Active policy set</w:t>
            </w:r>
          </w:p>
          <w:p>
            <w:r>
              <w:rPr>
                <w:sz w:val="20"/>
              </w:rPr>
              <w:t>Blocked events log</w:t>
            </w:r>
          </w:p>
          <w:p>
            <w:r>
              <w:rPr>
                <w:sz w:val="20"/>
              </w:rPr>
              <w:t>Agent lifecycle workflows</w:t>
            </w:r>
          </w:p>
        </w:tc>
      </w:tr>
      <w:tr>
        <w:tc>
          <w:tcPr>
            <w:tcW w:w="1800" w:type="dxa"/>
            <w:shd w:val="clear" w:color="auto" w:fill="F2F2F2"/>
            <w:tcMar>
              <w:top w:w="100" w:type="dxa"/>
              <w:left w:w="120" w:type="dxa"/>
              <w:bottom w:w="100" w:type="dxa"/>
              <w:right w:w="120" w:type="dxa"/>
            </w:tcMar>
          </w:tcPr>
          <w:p>
            <w:r>
              <w:rPr>
                <w:b/>
                <w:sz w:val="20"/>
              </w:rPr>
              <w:t>Week 4</w:t>
            </w:r>
          </w:p>
          <w:p>
            <w:r>
              <w:rPr>
                <w:b/>
                <w:color w:val="000000"/>
                <w:sz w:val="20"/>
              </w:rPr>
              <w:t>Review and Readout</w:t>
            </w:r>
          </w:p>
        </w:tc>
        <w:tc>
          <w:tcPr>
            <w:tcW w:w="4680" w:type="dxa"/>
            <w:tcMar>
              <w:top w:w="100" w:type="dxa"/>
              <w:left w:w="120" w:type="dxa"/>
              <w:bottom w:w="100" w:type="dxa"/>
              <w:right w:w="120" w:type="dxa"/>
            </w:tcMar>
          </w:tcPr>
          <w:p>
            <w:r>
              <w:rPr>
                <w:sz w:val="20"/>
              </w:rPr>
              <w:t>Executive readout with CISO and AI leadership. Present agents discovered vs. previously known, critical risks identified and remediated, compliance gaps closed, and policy events blocked. Transition to commercial discussion.</w:t>
            </w:r>
          </w:p>
        </w:tc>
        <w:tc>
          <w:tcPr>
            <w:tcW w:w="2880" w:type="dxa"/>
            <w:tcMar>
              <w:top w:w="100" w:type="dxa"/>
              <w:left w:w="120" w:type="dxa"/>
              <w:bottom w:w="100" w:type="dxa"/>
              <w:right w:w="120" w:type="dxa"/>
            </w:tcMar>
          </w:tcPr>
          <w:p>
            <w:r>
              <w:rPr>
                <w:sz w:val="20"/>
              </w:rPr>
              <w:t>Executive value report</w:t>
            </w:r>
          </w:p>
          <w:p>
            <w:r>
              <w:rPr>
                <w:sz w:val="20"/>
              </w:rPr>
              <w:t>Commercial proposal</w:t>
            </w:r>
          </w:p>
        </w:tc>
      </w:tr>
    </w:tbl>
    <w:p>
      <w:pPr>
        <w:spacing w:before="240" w:after="0"/>
      </w:pPr>
    </w:p>
    <w:p>
      <w:pPr>
        <w:pStyle w:val="Heading1"/>
        <w:spacing w:before="240" w:after="120"/>
      </w:pPr>
      <w:r>
        <w:rPr>
          <w:b/>
          <w:color w:val="000000"/>
          <w:sz w:val="28"/>
        </w:rPr>
        <w:t>Success criteria</w:t>
      </w:r>
    </w:p>
    <w:p>
      <w:pPr>
        <w:spacing w:before="0" w:after="80"/>
      </w:pPr>
      <w:r>
        <w:t>The POV is considered successful when your team can confirm the following at the Week 4 readout:</w:t>
      </w:r>
    </w:p>
    <w:p>
      <w:pPr>
        <w:spacing w:before="40" w:after="40"/>
        <w:ind w:left="360"/>
      </w:pPr>
      <w:r>
        <w:t>Complete inventory of every AI agent running across all platforms in scope, including agents previously unknown to the security team.</w:t>
      </w:r>
    </w:p>
    <w:p>
      <w:pPr>
        <w:spacing w:before="40" w:after="40"/>
        <w:ind w:left="360"/>
      </w:pPr>
      <w:r>
        <w:t>Clear identification of which agents are critical risk, with specific posture findings and step-by-step remediation guidance.</w:t>
      </w:r>
    </w:p>
    <w:p>
      <w:pPr>
        <w:spacing w:before="40" w:after="40"/>
        <w:ind w:left="360"/>
      </w:pPr>
      <w:r>
        <w:t>An audit trail of agent activity that satisfies compliance and auditor requirements.</w:t>
      </w:r>
    </w:p>
    <w:p>
      <w:pPr>
        <w:spacing w:before="40" w:after="40"/>
        <w:ind w:left="360"/>
      </w:pPr>
      <w:r>
        <w:t>Runtime policies in place that would have prevented unauthorized agent access to sensitive data, including configuration files, credentials, and production systems.</w:t>
      </w:r>
    </w:p>
    <w:p>
      <w:pPr>
        <w:spacing w:before="40" w:after="200"/>
        <w:ind w:left="360"/>
      </w:pPr>
      <w:r>
        <w:t>No agent left unowned: lifecycle management workflows active for agent creation, change, and offboarding events.</w:t>
      </w:r>
    </w:p>
    <w:p>
      <w:pPr>
        <w:pStyle w:val="Heading1"/>
        <w:spacing w:before="240" w:after="120"/>
      </w:pPr>
      <w:r>
        <w:rPr>
          <w:b/>
          <w:color w:val="000000"/>
          <w:sz w:val="28"/>
        </w:rPr>
        <w:t>Mutual commitments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222222"/>
            <w:tcMar>
              <w:top w:w="100" w:type="dxa"/>
              <w:left w:w="120" w:type="dxa"/>
              <w:bottom w:w="100" w:type="dxa"/>
              <w:right w:w="120" w:type="dxa"/>
            </w:tcMar>
          </w:tcPr>
          <w:p>
            <w:r>
              <w:rPr>
                <w:b/>
                <w:color w:val="FFFFFF"/>
                <w:sz w:val="20"/>
              </w:rPr>
              <w:t>AppViewX commits</w:t>
            </w:r>
          </w:p>
        </w:tc>
        <w:tc>
          <w:tcPr>
            <w:tcW w:w="4680" w:type="dxa"/>
            <w:shd w:val="clear" w:color="auto" w:fill="222222"/>
            <w:tcMar>
              <w:top w:w="100" w:type="dxa"/>
              <w:left w:w="120" w:type="dxa"/>
              <w:bottom w:w="100" w:type="dxa"/>
              <w:right w:w="120" w:type="dxa"/>
            </w:tcMar>
          </w:tcPr>
          <w:p>
            <w:r>
              <w:rPr>
                <w:b/>
                <w:color w:val="FFFFFF"/>
                <w:sz w:val="20"/>
              </w:rPr>
              <w:t>You commit</w:t>
            </w:r>
          </w:p>
        </w:tc>
      </w:tr>
      <w:tr>
        <w:tc>
          <w:tcPr>
            <w:tcW w:w="4680" w:type="dxa"/>
            <w:tcMar>
              <w:top w:w="100" w:type="dxa"/>
              <w:left w:w="120" w:type="dxa"/>
              <w:bottom w:w="100" w:type="dxa"/>
              <w:right w:w="120" w:type="dxa"/>
            </w:tcMar>
          </w:tcPr>
          <w:p>
            <w:r>
              <w:rPr>
                <w:sz w:val="20"/>
              </w:rPr>
              <w:t>Dedicated deployment support from CTO and engineering team</w:t>
            </w:r>
          </w:p>
          <w:p>
            <w:r>
              <w:rPr>
                <w:sz w:val="20"/>
              </w:rPr>
              <w:t>All onboarding, integration, and support at no cost</w:t>
            </w:r>
          </w:p>
          <w:p>
            <w:r>
              <w:rPr>
                <w:sz w:val="20"/>
              </w:rPr>
              <w:t>Weekly check-ins with your security and engineering leads</w:t>
            </w:r>
          </w:p>
          <w:p>
            <w:r>
              <w:rPr>
                <w:sz w:val="20"/>
              </w:rPr>
              <w:t>Unlimited agents in scope during the POV period</w:t>
            </w:r>
          </w:p>
          <w:p>
            <w:r>
              <w:rPr>
                <w:sz w:val="20"/>
              </w:rPr>
              <w:t>Executive value readout at Week 4</w:t>
            </w:r>
          </w:p>
          <w:p>
            <w:r>
              <w:rPr>
                <w:sz w:val="20"/>
              </w:rPr>
              <w:t>In-person engineering collaboration available (Hyderabad teams)</w:t>
            </w:r>
          </w:p>
        </w:tc>
        <w:tc>
          <w:tcPr>
            <w:tcW w:w="4680" w:type="dxa"/>
            <w:tcMar>
              <w:top w:w="100" w:type="dxa"/>
              <w:left w:w="120" w:type="dxa"/>
              <w:bottom w:w="100" w:type="dxa"/>
              <w:right w:w="120" w:type="dxa"/>
            </w:tcMar>
          </w:tcPr>
          <w:p>
            <w:r>
              <w:rPr>
                <w:sz w:val="20"/>
              </w:rPr>
              <w:t>Named technical contact to support deployment and integration</w:t>
            </w:r>
          </w:p>
          <w:p>
            <w:r>
              <w:rPr>
                <w:sz w:val="20"/>
              </w:rPr>
              <w:t>Platform and environment access required for agent plugin deployment</w:t>
            </w:r>
          </w:p>
          <w:p>
            <w:r>
              <w:rPr>
                <w:sz w:val="20"/>
              </w:rPr>
              <w:t>CISO and AI lead participation in Week 2 check-in and Week 4 readout</w:t>
            </w:r>
          </w:p>
          <w:p>
            <w:r>
              <w:rPr>
                <w:sz w:val="20"/>
              </w:rPr>
              <w:t>Good-faith commercial discussion if success criteria are met</w:t>
            </w:r>
          </w:p>
          <w:p>
            <w:r>
              <w:rPr>
                <w:sz w:val="20"/>
              </w:rPr>
              <w:t>Reference and case study rights upon successful completion</w:t>
            </w:r>
          </w:p>
        </w:tc>
      </w:tr>
    </w:tbl>
    <w:p>
      <w:pPr>
        <w:spacing w:before="240" w:after="0"/>
      </w:pPr>
    </w:p>
    <w:p>
      <w:pPr>
        <w:pStyle w:val="Heading1"/>
        <w:spacing w:before="240" w:after="120"/>
      </w:pPr>
      <w:r>
        <w:rPr>
          <w:b/>
          <w:color w:val="000000"/>
          <w:sz w:val="28"/>
        </w:rPr>
        <w:t>About AppViewX Agent Identity Security</w:t>
      </w:r>
    </w:p>
    <w:p>
      <w:pPr>
        <w:spacing w:before="0" w:after="200"/>
      </w:pPr>
      <w:r>
        <w:t xml:space="preserve">AppViewX Agent Identity Security is the only platform purpose-built for the agent identity problem. While most security tools focus on discovering what agents exist, AppViewX goes further: governing what they can access, enforcing runtime policies that block unauthorized actions, and providing the audit trail that compliance teams require. Built on AppViewX’s 10-year foundation in machine identity and certificate lifecycle management, the platform extends enterprise-grade identity trust into the AI agent layer.</w:t>
      </w:r>
    </w:p>
    <w:p>
      <w:pPr>
        <w:spacing w:before="0" w:after="200"/>
      </w:pPr>
      <w:r>
        <w:t>The platform secures coding agents (Claude Code, Cursor, GitHub Copilot), SaaS AI agents (Agentforce, Microsoft Copilot Studio, ServiceNow), AI assistants (ChatGPT, Gemini, Claude), and custom-built agent platforms, regardless of which LLM or infrastructure they run on.</w:t>
      </w:r>
    </w:p>
    <w:p>
      <w:pPr>
        <w:pStyle w:val="Heading1"/>
        <w:spacing w:before="240" w:after="120"/>
      </w:pPr>
      <w:r>
        <w:rPr>
          <w:b/>
          <w:color w:val="000000"/>
          <w:sz w:val="28"/>
        </w:rPr>
        <w:t>Next step</w:t>
      </w:r>
    </w:p>
    <w:p>
      <w:pPr>
        <w:spacing w:before="0" w:after="240"/>
      </w:pPr>
      <w:r>
        <w:t>Following your demo, we propose agreeing on a POV start date and naming a technical contact on your side. AppViewX will have the deployment environment ready within 48 hours of go-ahead.</w:t>
      </w:r>
    </w:p>
    <w:p>
      <w:pPr>
        <w:spacing w:before="40" w:after="40"/>
      </w:pPr>
      <w:r>
        <w:rPr>
          <w:sz w:val="18"/>
        </w:rPr>
        <w:t>Diego Monroy  |  GTM Lead, Agent Identity Security  |  diego.monroy@appviewx.com</w:t>
      </w:r>
    </w:p>
    <w:p>
      <w:pPr>
        <w:spacing w:before="40" w:after="40"/>
      </w:pPr>
      <w:r>
        <w:rPr>
          <w:sz w:val="18"/>
        </w:rPr>
        <w:t>Kashyap Ivaturi  |  CTO, AppViewX  |  kashyap.ivaturi@appviewx.com</w:t>
      </w:r>
    </w:p>
    <w:p>
      <w:pPr>
        <w:spacing w:before="40" w:after="40"/>
      </w:pPr>
      <w:r>
        <w:rPr>
          <w:sz w:val="18"/>
        </w:rPr>
        <w:t>Archit Lohokare  |  CEO, AppViewX  |  archit.lohokare@appviewx.com</w:t>
      </w:r>
    </w:p>
    <w:p>
      <w:pPr>
        <w:spacing w:before="40" w:after="40"/>
      </w:pPr>
      <w:r>
        <w:rPr>
          <w:sz w:val="18"/>
        </w:rPr>
        <w:t>Suresh Raju Pilli  |  Head of Engineering, AI  |  sureshraju.pilli@appviewx.com</w:t>
      </w:r>
    </w:p>
    <w:sectPr w:rsidR="00153477" w:rsidRPr="00153477" w:rsidSect="000B61F8">
      <w:headerReference w:type="default" r:id="rId10"/>
      <w:footerReference w:type="even" r:id="rId11"/>
      <w:footerReference w:type="default" r:id="rId12"/>
      <w:headerReference w:type="first" r:id="rId13"/>
      <w:footerReference w:type="first" r:id="rId14"/>
      <w:pgSz w:w="11900" w:h="16840"/>
      <w:pgMar w:top="1440" w:right="1080" w:bottom="1440" w:left="108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7D936" w14:textId="77777777" w:rsidR="00E36993" w:rsidRDefault="00E36993" w:rsidP="00F63C0B">
      <w:r>
        <w:separator/>
      </w:r>
    </w:p>
  </w:endnote>
  <w:endnote w:type="continuationSeparator" w:id="0">
    <w:p w14:paraId="6C95C9AB" w14:textId="77777777" w:rsidR="00E36993" w:rsidRDefault="00E36993" w:rsidP="00F63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ra">
    <w:altName w:val="Leelawadee UI"/>
    <w:charset w:val="00"/>
    <w:family w:val="auto"/>
    <w:pitch w:val="variable"/>
    <w:sig w:usb0="A000006F" w:usb1="5000004B" w:usb2="00010000" w:usb3="00000000" w:csb0="000000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555203"/>
      <w:docPartObj>
        <w:docPartGallery w:val="Page Numbers (Bottom of Page)"/>
        <w:docPartUnique/>
      </w:docPartObj>
    </w:sdtPr>
    <w:sdtContent>
      <w:p w14:paraId="4B46BBB0" w14:textId="2B01558D" w:rsidR="009459F8" w:rsidRDefault="009459F8">
        <w:pPr>
          <w:pStyle w:val="Footer"/>
          <w:framePr w:wrap="none" w:vAnchor="text" w:hAnchor="margin" w:xAlign="right" w:y="1"/>
          <w:rPr>
            <w:rStyle w:val="PageNumber"/>
          </w:rPr>
        </w:pPr>
        <w:r w:rsidRPr="3A4C1EDC">
          <w:rPr>
            <w:rStyle w:val="PageNumber"/>
          </w:rPr>
          <w:fldChar w:fldCharType="begin"/>
        </w:r>
        <w:r w:rsidRPr="3A4C1EDC">
          <w:rPr>
            <w:rStyle w:val="PageNumber"/>
          </w:rPr>
          <w:instrText xml:space="preserve"> PAGE </w:instrText>
        </w:r>
        <w:r w:rsidRPr="3A4C1EDC">
          <w:rPr>
            <w:rStyle w:val="PageNumber"/>
          </w:rPr>
          <w:fldChar w:fldCharType="separate"/>
        </w:r>
        <w:r w:rsidR="00BE5194">
          <w:rPr>
            <w:rStyle w:val="PageNumber"/>
            <w:noProof/>
          </w:rPr>
          <w:t>2</w:t>
        </w:r>
        <w:r w:rsidRPr="3A4C1EDC">
          <w:rPr>
            <w:rStyle w:val="PageNumber"/>
          </w:rPr>
          <w:fldChar w:fldCharType="end"/>
        </w:r>
      </w:p>
    </w:sdtContent>
  </w:sdt>
  <w:sdt>
    <w:sdtPr>
      <w:rPr>
        <w:rStyle w:val="PageNumber"/>
      </w:rPr>
      <w:id w:val="-1027865134"/>
      <w:docPartObj>
        <w:docPartGallery w:val="Page Numbers (Bottom of Page)"/>
        <w:docPartUnique/>
      </w:docPartObj>
    </w:sdtPr>
    <w:sdtContent>
      <w:p w14:paraId="4ADE24D5" w14:textId="6D3BC7E7" w:rsidR="00D62B41" w:rsidRDefault="00D62B41" w:rsidP="009459F8">
        <w:pPr>
          <w:pStyle w:val="Footer"/>
          <w:framePr w:wrap="none" w:vAnchor="text" w:hAnchor="margin" w:xAlign="right" w:y="1"/>
          <w:ind w:right="360"/>
          <w:rPr>
            <w:rStyle w:val="PageNumber"/>
          </w:rPr>
        </w:pPr>
        <w:r w:rsidRPr="3A4C1EDC">
          <w:rPr>
            <w:rStyle w:val="PageNumber"/>
          </w:rPr>
          <w:fldChar w:fldCharType="begin"/>
        </w:r>
        <w:r w:rsidRPr="3A4C1EDC">
          <w:rPr>
            <w:rStyle w:val="PageNumber"/>
          </w:rPr>
          <w:instrText xml:space="preserve"> PAGE </w:instrText>
        </w:r>
        <w:r w:rsidRPr="3A4C1EDC">
          <w:rPr>
            <w:rStyle w:val="PageNumber"/>
          </w:rPr>
          <w:fldChar w:fldCharType="separate"/>
        </w:r>
        <w:r w:rsidR="00BE5194">
          <w:rPr>
            <w:rStyle w:val="PageNumber"/>
            <w:noProof/>
          </w:rPr>
          <w:t>2</w:t>
        </w:r>
        <w:r w:rsidRPr="3A4C1EDC">
          <w:rPr>
            <w:rStyle w:val="PageNumber"/>
          </w:rPr>
          <w:fldChar w:fldCharType="end"/>
        </w:r>
      </w:p>
    </w:sdtContent>
  </w:sdt>
  <w:p w14:paraId="6B37CB11" w14:textId="77777777" w:rsidR="004928DD" w:rsidRDefault="004928DD" w:rsidP="00D62B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D9BD" w14:textId="3BDE83D2" w:rsidR="00AD1BB4" w:rsidRDefault="000B61F8" w:rsidP="009459F8">
    <w:pPr>
      <w:pStyle w:val="Footer"/>
      <w:ind w:right="360"/>
    </w:pPr>
    <w:r>
      <w:rPr>
        <w:noProof/>
      </w:rPr>
      <w:drawing>
        <wp:anchor distT="0" distB="0" distL="114300" distR="114300" simplePos="0" relativeHeight="251662336" behindDoc="0" locked="0" layoutInCell="1" allowOverlap="1" wp14:anchorId="6273D9FE" wp14:editId="46CF1B1C">
          <wp:simplePos x="0" y="0"/>
          <wp:positionH relativeFrom="margin">
            <wp:align>center</wp:align>
          </wp:positionH>
          <wp:positionV relativeFrom="paragraph">
            <wp:posOffset>-512971</wp:posOffset>
          </wp:positionV>
          <wp:extent cx="6333460" cy="1003934"/>
          <wp:effectExtent l="0" t="0" r="0" b="6350"/>
          <wp:wrapNone/>
          <wp:docPr id="198263053" name="Picture 6" descr="A purple and white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3053" name="Picture 6" descr="A purple and white screen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333460" cy="1003934"/>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F0A4" w14:textId="79260EB2" w:rsidR="004A22A2" w:rsidRPr="00F5320D" w:rsidRDefault="00F5320D" w:rsidP="00F5320D">
    <w:pPr>
      <w:pStyle w:val="Footer"/>
    </w:pPr>
    <w:r>
      <w:rPr>
        <w:noProof/>
      </w:rPr>
      <w:drawing>
        <wp:anchor distT="0" distB="0" distL="114300" distR="114300" simplePos="0" relativeHeight="251658240" behindDoc="0" locked="0" layoutInCell="1" allowOverlap="1" wp14:anchorId="440EB7ED" wp14:editId="74E94EB2">
          <wp:simplePos x="0" y="0"/>
          <wp:positionH relativeFrom="margin">
            <wp:posOffset>-75565</wp:posOffset>
          </wp:positionH>
          <wp:positionV relativeFrom="paragraph">
            <wp:posOffset>-480294</wp:posOffset>
          </wp:positionV>
          <wp:extent cx="6333460" cy="1003934"/>
          <wp:effectExtent l="0" t="0" r="0" b="0"/>
          <wp:wrapNone/>
          <wp:docPr id="1424394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9464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6333460" cy="1003934"/>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A8A67" w14:textId="77777777" w:rsidR="00E36993" w:rsidRDefault="00E36993" w:rsidP="00F63C0B">
      <w:r>
        <w:separator/>
      </w:r>
    </w:p>
  </w:footnote>
  <w:footnote w:type="continuationSeparator" w:id="0">
    <w:p w14:paraId="0688E49E" w14:textId="77777777" w:rsidR="00E36993" w:rsidRDefault="00E36993" w:rsidP="00F63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7C3E" w14:textId="0B895D07" w:rsidR="000B61F8" w:rsidRDefault="000B61F8">
    <w:pPr>
      <w:pStyle w:val="Header"/>
    </w:pPr>
    <w:r>
      <w:rPr>
        <w:noProof/>
      </w:rPr>
      <w:drawing>
        <wp:anchor distT="0" distB="0" distL="114300" distR="114300" simplePos="0" relativeHeight="251660288" behindDoc="0" locked="0" layoutInCell="1" allowOverlap="1" wp14:anchorId="2FC28952" wp14:editId="158712AC">
          <wp:simplePos x="0" y="0"/>
          <wp:positionH relativeFrom="margin">
            <wp:align>right</wp:align>
          </wp:positionH>
          <wp:positionV relativeFrom="paragraph">
            <wp:posOffset>378373</wp:posOffset>
          </wp:positionV>
          <wp:extent cx="1593435" cy="290713"/>
          <wp:effectExtent l="0" t="0" r="0" b="0"/>
          <wp:wrapNone/>
          <wp:docPr id="581999647" name="Picture 581999647"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99647" name="Picture 581999647" descr="A black background with a black squar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93435" cy="29071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29B5" w14:textId="36384A42" w:rsidR="004A22A2" w:rsidRDefault="004A22A2">
    <w:pPr>
      <w:pStyle w:val="Header"/>
    </w:pPr>
    <w:r>
      <w:rPr>
        <w:noProof/>
      </w:rPr>
      <w:drawing>
        <wp:anchor distT="0" distB="0" distL="114300" distR="114300" simplePos="0" relativeHeight="251656192" behindDoc="0" locked="0" layoutInCell="1" allowOverlap="1" wp14:anchorId="2885A31D" wp14:editId="39CC4849">
          <wp:simplePos x="0" y="0"/>
          <wp:positionH relativeFrom="column">
            <wp:posOffset>4803775</wp:posOffset>
          </wp:positionH>
          <wp:positionV relativeFrom="paragraph">
            <wp:posOffset>385968</wp:posOffset>
          </wp:positionV>
          <wp:extent cx="1593435" cy="290713"/>
          <wp:effectExtent l="0" t="0" r="0" b="190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Lst>
                  </a:blip>
                  <a:stretch>
                    <a:fillRect/>
                  </a:stretch>
                </pic:blipFill>
                <pic:spPr>
                  <a:xfrm>
                    <a:off x="0" y="0"/>
                    <a:ext cx="1593435" cy="29071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7B5"/>
    <w:multiLevelType w:val="hybridMultilevel"/>
    <w:tmpl w:val="257081F8"/>
    <w:lvl w:ilvl="0" w:tplc="8A44BC9E">
      <w:numFmt w:val="bullet"/>
      <w:lvlText w:val="•"/>
      <w:lvlJc w:val="left"/>
      <w:pPr>
        <w:ind w:left="690" w:hanging="360"/>
      </w:pPr>
      <w:rPr>
        <w:rFonts w:ascii="Sora" w:eastAsia="Sora" w:hAnsi="Sora" w:cs="Sora" w:hint="default"/>
        <w:b w:val="0"/>
        <w:bCs w:val="0"/>
        <w:i w:val="0"/>
        <w:iCs w:val="0"/>
        <w:color w:val="231F20"/>
        <w:spacing w:val="0"/>
        <w:w w:val="100"/>
        <w:sz w:val="22"/>
        <w:szCs w:val="22"/>
        <w:lang w:val="en-US" w:eastAsia="en-US" w:bidi="ar-SA"/>
      </w:rPr>
    </w:lvl>
    <w:lvl w:ilvl="1" w:tplc="A7A4C02E">
      <w:numFmt w:val="bullet"/>
      <w:lvlText w:val="•"/>
      <w:lvlJc w:val="left"/>
      <w:pPr>
        <w:ind w:left="1059" w:hanging="360"/>
      </w:pPr>
      <w:rPr>
        <w:rFonts w:hint="default"/>
        <w:lang w:val="en-US" w:eastAsia="en-US" w:bidi="ar-SA"/>
      </w:rPr>
    </w:lvl>
    <w:lvl w:ilvl="2" w:tplc="525E3EE2">
      <w:numFmt w:val="bullet"/>
      <w:lvlText w:val="•"/>
      <w:lvlJc w:val="left"/>
      <w:pPr>
        <w:ind w:left="1419" w:hanging="360"/>
      </w:pPr>
      <w:rPr>
        <w:rFonts w:hint="default"/>
        <w:lang w:val="en-US" w:eastAsia="en-US" w:bidi="ar-SA"/>
      </w:rPr>
    </w:lvl>
    <w:lvl w:ilvl="3" w:tplc="C3D090E4">
      <w:numFmt w:val="bullet"/>
      <w:lvlText w:val="•"/>
      <w:lvlJc w:val="left"/>
      <w:pPr>
        <w:ind w:left="1779" w:hanging="360"/>
      </w:pPr>
      <w:rPr>
        <w:rFonts w:hint="default"/>
        <w:lang w:val="en-US" w:eastAsia="en-US" w:bidi="ar-SA"/>
      </w:rPr>
    </w:lvl>
    <w:lvl w:ilvl="4" w:tplc="223E02CE">
      <w:numFmt w:val="bullet"/>
      <w:lvlText w:val="•"/>
      <w:lvlJc w:val="left"/>
      <w:pPr>
        <w:ind w:left="2139" w:hanging="360"/>
      </w:pPr>
      <w:rPr>
        <w:rFonts w:hint="default"/>
        <w:lang w:val="en-US" w:eastAsia="en-US" w:bidi="ar-SA"/>
      </w:rPr>
    </w:lvl>
    <w:lvl w:ilvl="5" w:tplc="D85CE934">
      <w:numFmt w:val="bullet"/>
      <w:lvlText w:val="•"/>
      <w:lvlJc w:val="left"/>
      <w:pPr>
        <w:ind w:left="2499" w:hanging="360"/>
      </w:pPr>
      <w:rPr>
        <w:rFonts w:hint="default"/>
        <w:lang w:val="en-US" w:eastAsia="en-US" w:bidi="ar-SA"/>
      </w:rPr>
    </w:lvl>
    <w:lvl w:ilvl="6" w:tplc="197631C8">
      <w:numFmt w:val="bullet"/>
      <w:lvlText w:val="•"/>
      <w:lvlJc w:val="left"/>
      <w:pPr>
        <w:ind w:left="2859" w:hanging="360"/>
      </w:pPr>
      <w:rPr>
        <w:rFonts w:hint="default"/>
        <w:lang w:val="en-US" w:eastAsia="en-US" w:bidi="ar-SA"/>
      </w:rPr>
    </w:lvl>
    <w:lvl w:ilvl="7" w:tplc="2D603DA0">
      <w:numFmt w:val="bullet"/>
      <w:lvlText w:val="•"/>
      <w:lvlJc w:val="left"/>
      <w:pPr>
        <w:ind w:left="3219" w:hanging="360"/>
      </w:pPr>
      <w:rPr>
        <w:rFonts w:hint="default"/>
        <w:lang w:val="en-US" w:eastAsia="en-US" w:bidi="ar-SA"/>
      </w:rPr>
    </w:lvl>
    <w:lvl w:ilvl="8" w:tplc="91FABB9E">
      <w:numFmt w:val="bullet"/>
      <w:lvlText w:val="•"/>
      <w:lvlJc w:val="left"/>
      <w:pPr>
        <w:ind w:left="3579" w:hanging="360"/>
      </w:pPr>
      <w:rPr>
        <w:rFonts w:hint="default"/>
        <w:lang w:val="en-US" w:eastAsia="en-US" w:bidi="ar-SA"/>
      </w:rPr>
    </w:lvl>
  </w:abstractNum>
  <w:abstractNum w:abstractNumId="1" w15:restartNumberingAfterBreak="0">
    <w:nsid w:val="020F2530"/>
    <w:multiLevelType w:val="hybridMultilevel"/>
    <w:tmpl w:val="C9F44CC8"/>
    <w:lvl w:ilvl="0" w:tplc="40D6CC14">
      <w:numFmt w:val="bullet"/>
      <w:lvlText w:val="-"/>
      <w:lvlJc w:val="left"/>
      <w:pPr>
        <w:ind w:left="502" w:hanging="360"/>
      </w:pPr>
      <w:rPr>
        <w:rFonts w:ascii="Arial" w:eastAsia="Sora" w:hAnsi="Arial" w:cs="Aria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 w15:restartNumberingAfterBreak="0">
    <w:nsid w:val="03323D74"/>
    <w:multiLevelType w:val="hybridMultilevel"/>
    <w:tmpl w:val="95848DDE"/>
    <w:lvl w:ilvl="0" w:tplc="0D56EBA8">
      <w:numFmt w:val="bullet"/>
      <w:lvlText w:val="•"/>
      <w:lvlJc w:val="left"/>
      <w:pPr>
        <w:ind w:left="467" w:hanging="360"/>
      </w:pPr>
      <w:rPr>
        <w:rFonts w:ascii="Sora" w:eastAsia="Sora" w:hAnsi="Sora" w:cs="Sora" w:hint="default"/>
        <w:b w:val="0"/>
        <w:bCs w:val="0"/>
        <w:i w:val="0"/>
        <w:iCs w:val="0"/>
        <w:color w:val="231F20"/>
        <w:spacing w:val="0"/>
        <w:w w:val="100"/>
        <w:sz w:val="22"/>
        <w:szCs w:val="22"/>
        <w:lang w:val="en-US" w:eastAsia="en-US" w:bidi="ar-SA"/>
      </w:rPr>
    </w:lvl>
    <w:lvl w:ilvl="1" w:tplc="097C4C36">
      <w:numFmt w:val="bullet"/>
      <w:lvlText w:val="•"/>
      <w:lvlJc w:val="left"/>
      <w:pPr>
        <w:ind w:left="753" w:hanging="360"/>
      </w:pPr>
      <w:rPr>
        <w:rFonts w:hint="default"/>
        <w:lang w:val="en-US" w:eastAsia="en-US" w:bidi="ar-SA"/>
      </w:rPr>
    </w:lvl>
    <w:lvl w:ilvl="2" w:tplc="0638DD22">
      <w:numFmt w:val="bullet"/>
      <w:lvlText w:val="•"/>
      <w:lvlJc w:val="left"/>
      <w:pPr>
        <w:ind w:left="1047" w:hanging="360"/>
      </w:pPr>
      <w:rPr>
        <w:rFonts w:hint="default"/>
        <w:lang w:val="en-US" w:eastAsia="en-US" w:bidi="ar-SA"/>
      </w:rPr>
    </w:lvl>
    <w:lvl w:ilvl="3" w:tplc="EB2E036C">
      <w:numFmt w:val="bullet"/>
      <w:lvlText w:val="•"/>
      <w:lvlJc w:val="left"/>
      <w:pPr>
        <w:ind w:left="1341" w:hanging="360"/>
      </w:pPr>
      <w:rPr>
        <w:rFonts w:hint="default"/>
        <w:lang w:val="en-US" w:eastAsia="en-US" w:bidi="ar-SA"/>
      </w:rPr>
    </w:lvl>
    <w:lvl w:ilvl="4" w:tplc="8EBEB98A">
      <w:numFmt w:val="bullet"/>
      <w:lvlText w:val="•"/>
      <w:lvlJc w:val="left"/>
      <w:pPr>
        <w:ind w:left="1635" w:hanging="360"/>
      </w:pPr>
      <w:rPr>
        <w:rFonts w:hint="default"/>
        <w:lang w:val="en-US" w:eastAsia="en-US" w:bidi="ar-SA"/>
      </w:rPr>
    </w:lvl>
    <w:lvl w:ilvl="5" w:tplc="69B6EAF2">
      <w:numFmt w:val="bullet"/>
      <w:lvlText w:val="•"/>
      <w:lvlJc w:val="left"/>
      <w:pPr>
        <w:ind w:left="1929" w:hanging="360"/>
      </w:pPr>
      <w:rPr>
        <w:rFonts w:hint="default"/>
        <w:lang w:val="en-US" w:eastAsia="en-US" w:bidi="ar-SA"/>
      </w:rPr>
    </w:lvl>
    <w:lvl w:ilvl="6" w:tplc="E3B2AB4A">
      <w:numFmt w:val="bullet"/>
      <w:lvlText w:val="•"/>
      <w:lvlJc w:val="left"/>
      <w:pPr>
        <w:ind w:left="2223" w:hanging="360"/>
      </w:pPr>
      <w:rPr>
        <w:rFonts w:hint="default"/>
        <w:lang w:val="en-US" w:eastAsia="en-US" w:bidi="ar-SA"/>
      </w:rPr>
    </w:lvl>
    <w:lvl w:ilvl="7" w:tplc="A33839BC">
      <w:numFmt w:val="bullet"/>
      <w:lvlText w:val="•"/>
      <w:lvlJc w:val="left"/>
      <w:pPr>
        <w:ind w:left="2517" w:hanging="360"/>
      </w:pPr>
      <w:rPr>
        <w:rFonts w:hint="default"/>
        <w:lang w:val="en-US" w:eastAsia="en-US" w:bidi="ar-SA"/>
      </w:rPr>
    </w:lvl>
    <w:lvl w:ilvl="8" w:tplc="4F642BC2">
      <w:numFmt w:val="bullet"/>
      <w:lvlText w:val="•"/>
      <w:lvlJc w:val="left"/>
      <w:pPr>
        <w:ind w:left="2811" w:hanging="360"/>
      </w:pPr>
      <w:rPr>
        <w:rFonts w:hint="default"/>
        <w:lang w:val="en-US" w:eastAsia="en-US" w:bidi="ar-SA"/>
      </w:rPr>
    </w:lvl>
  </w:abstractNum>
  <w:abstractNum w:abstractNumId="3" w15:restartNumberingAfterBreak="0">
    <w:nsid w:val="0A131B12"/>
    <w:multiLevelType w:val="hybridMultilevel"/>
    <w:tmpl w:val="5BC89668"/>
    <w:lvl w:ilvl="0" w:tplc="7E76DF9A">
      <w:start w:val="1"/>
      <w:numFmt w:val="decimal"/>
      <w:lvlText w:val="%1."/>
      <w:lvlJc w:val="left"/>
      <w:pPr>
        <w:ind w:left="3937" w:hanging="201"/>
      </w:pPr>
      <w:rPr>
        <w:rFonts w:ascii="Sora" w:eastAsia="Sora" w:hAnsi="Sora" w:cs="Sora" w:hint="default"/>
        <w:b/>
        <w:bCs/>
        <w:i w:val="0"/>
        <w:iCs w:val="0"/>
        <w:color w:val="231F20"/>
        <w:spacing w:val="0"/>
        <w:w w:val="100"/>
        <w:sz w:val="22"/>
        <w:szCs w:val="22"/>
        <w:lang w:val="en-US" w:eastAsia="en-US" w:bidi="ar-SA"/>
      </w:rPr>
    </w:lvl>
    <w:lvl w:ilvl="1" w:tplc="D1C88CA2">
      <w:numFmt w:val="bullet"/>
      <w:lvlText w:val="•"/>
      <w:lvlJc w:val="left"/>
      <w:pPr>
        <w:ind w:left="4088" w:hanging="360"/>
      </w:pPr>
      <w:rPr>
        <w:rFonts w:ascii="Sora" w:eastAsia="Sora" w:hAnsi="Sora" w:cs="Sora" w:hint="default"/>
        <w:b w:val="0"/>
        <w:bCs w:val="0"/>
        <w:i w:val="0"/>
        <w:iCs w:val="0"/>
        <w:color w:val="231F20"/>
        <w:spacing w:val="0"/>
        <w:w w:val="100"/>
        <w:sz w:val="22"/>
        <w:szCs w:val="22"/>
        <w:lang w:val="en-US" w:eastAsia="en-US" w:bidi="ar-SA"/>
      </w:rPr>
    </w:lvl>
    <w:lvl w:ilvl="2" w:tplc="C562E942">
      <w:numFmt w:val="bullet"/>
      <w:lvlText w:val="•"/>
      <w:lvlJc w:val="left"/>
      <w:pPr>
        <w:ind w:left="4357" w:hanging="360"/>
      </w:pPr>
      <w:rPr>
        <w:rFonts w:hint="default"/>
        <w:lang w:val="en-US" w:eastAsia="en-US" w:bidi="ar-SA"/>
      </w:rPr>
    </w:lvl>
    <w:lvl w:ilvl="3" w:tplc="114E4C7E">
      <w:numFmt w:val="bullet"/>
      <w:lvlText w:val="•"/>
      <w:lvlJc w:val="left"/>
      <w:pPr>
        <w:ind w:left="4634" w:hanging="360"/>
      </w:pPr>
      <w:rPr>
        <w:rFonts w:hint="default"/>
        <w:lang w:val="en-US" w:eastAsia="en-US" w:bidi="ar-SA"/>
      </w:rPr>
    </w:lvl>
    <w:lvl w:ilvl="4" w:tplc="088A06E2">
      <w:numFmt w:val="bullet"/>
      <w:lvlText w:val="•"/>
      <w:lvlJc w:val="left"/>
      <w:pPr>
        <w:ind w:left="4912" w:hanging="360"/>
      </w:pPr>
      <w:rPr>
        <w:rFonts w:hint="default"/>
        <w:lang w:val="en-US" w:eastAsia="en-US" w:bidi="ar-SA"/>
      </w:rPr>
    </w:lvl>
    <w:lvl w:ilvl="5" w:tplc="59C6734E">
      <w:numFmt w:val="bullet"/>
      <w:lvlText w:val="•"/>
      <w:lvlJc w:val="left"/>
      <w:pPr>
        <w:ind w:left="5189" w:hanging="360"/>
      </w:pPr>
      <w:rPr>
        <w:rFonts w:hint="default"/>
        <w:lang w:val="en-US" w:eastAsia="en-US" w:bidi="ar-SA"/>
      </w:rPr>
    </w:lvl>
    <w:lvl w:ilvl="6" w:tplc="117AE972">
      <w:numFmt w:val="bullet"/>
      <w:lvlText w:val="•"/>
      <w:lvlJc w:val="left"/>
      <w:pPr>
        <w:ind w:left="5466" w:hanging="360"/>
      </w:pPr>
      <w:rPr>
        <w:rFonts w:hint="default"/>
        <w:lang w:val="en-US" w:eastAsia="en-US" w:bidi="ar-SA"/>
      </w:rPr>
    </w:lvl>
    <w:lvl w:ilvl="7" w:tplc="3B2097AA">
      <w:numFmt w:val="bullet"/>
      <w:lvlText w:val="•"/>
      <w:lvlJc w:val="left"/>
      <w:pPr>
        <w:ind w:left="5744" w:hanging="360"/>
      </w:pPr>
      <w:rPr>
        <w:rFonts w:hint="default"/>
        <w:lang w:val="en-US" w:eastAsia="en-US" w:bidi="ar-SA"/>
      </w:rPr>
    </w:lvl>
    <w:lvl w:ilvl="8" w:tplc="F2EC1074">
      <w:numFmt w:val="bullet"/>
      <w:lvlText w:val="•"/>
      <w:lvlJc w:val="left"/>
      <w:pPr>
        <w:ind w:left="6021" w:hanging="360"/>
      </w:pPr>
      <w:rPr>
        <w:rFonts w:hint="default"/>
        <w:lang w:val="en-US" w:eastAsia="en-US" w:bidi="ar-SA"/>
      </w:rPr>
    </w:lvl>
  </w:abstractNum>
  <w:abstractNum w:abstractNumId="4" w15:restartNumberingAfterBreak="0">
    <w:nsid w:val="0D791DB6"/>
    <w:multiLevelType w:val="hybridMultilevel"/>
    <w:tmpl w:val="64904476"/>
    <w:lvl w:ilvl="0" w:tplc="0ABACBBC">
      <w:start w:val="165"/>
      <w:numFmt w:val="bullet"/>
      <w:lvlText w:val="-"/>
      <w:lvlJc w:val="left"/>
      <w:pPr>
        <w:ind w:left="480" w:hanging="360"/>
      </w:pPr>
      <w:rPr>
        <w:rFonts w:ascii="Calibri" w:eastAsiaTheme="minorEastAsia" w:hAnsi="Calibri" w:cs="Calibri"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5" w15:restartNumberingAfterBreak="0">
    <w:nsid w:val="16667E04"/>
    <w:multiLevelType w:val="hybridMultilevel"/>
    <w:tmpl w:val="8CFE7568"/>
    <w:lvl w:ilvl="0" w:tplc="71E49FF4">
      <w:start w:val="1"/>
      <w:numFmt w:val="decimal"/>
      <w:lvlText w:val="%1."/>
      <w:lvlJc w:val="left"/>
      <w:pPr>
        <w:ind w:left="320" w:hanging="201"/>
      </w:pPr>
      <w:rPr>
        <w:rFonts w:ascii="Sora" w:eastAsia="Sora" w:hAnsi="Sora" w:cs="Sora" w:hint="default"/>
        <w:b/>
        <w:bCs/>
        <w:i w:val="0"/>
        <w:iCs w:val="0"/>
        <w:color w:val="231F20"/>
        <w:spacing w:val="0"/>
        <w:w w:val="100"/>
        <w:sz w:val="22"/>
        <w:szCs w:val="22"/>
        <w:lang w:val="en-US" w:eastAsia="en-US" w:bidi="ar-SA"/>
      </w:rPr>
    </w:lvl>
    <w:lvl w:ilvl="1" w:tplc="C8DAE124">
      <w:numFmt w:val="bullet"/>
      <w:lvlText w:val="•"/>
      <w:lvlJc w:val="left"/>
      <w:pPr>
        <w:ind w:left="480" w:hanging="360"/>
      </w:pPr>
      <w:rPr>
        <w:rFonts w:ascii="Sora" w:eastAsia="Sora" w:hAnsi="Sora" w:cs="Sora" w:hint="default"/>
        <w:b w:val="0"/>
        <w:bCs w:val="0"/>
        <w:i w:val="0"/>
        <w:iCs w:val="0"/>
        <w:color w:val="231F20"/>
        <w:spacing w:val="0"/>
        <w:w w:val="100"/>
        <w:sz w:val="22"/>
        <w:szCs w:val="22"/>
        <w:lang w:val="en-US" w:eastAsia="en-US" w:bidi="ar-SA"/>
      </w:rPr>
    </w:lvl>
    <w:lvl w:ilvl="2" w:tplc="B20E32B4">
      <w:numFmt w:val="bullet"/>
      <w:lvlText w:val="•"/>
      <w:lvlJc w:val="left"/>
      <w:pPr>
        <w:ind w:left="1282" w:hanging="360"/>
      </w:pPr>
      <w:rPr>
        <w:rFonts w:hint="default"/>
        <w:lang w:val="en-US" w:eastAsia="en-US" w:bidi="ar-SA"/>
      </w:rPr>
    </w:lvl>
    <w:lvl w:ilvl="3" w:tplc="73DEA106">
      <w:numFmt w:val="bullet"/>
      <w:lvlText w:val="•"/>
      <w:lvlJc w:val="left"/>
      <w:pPr>
        <w:ind w:left="2085" w:hanging="360"/>
      </w:pPr>
      <w:rPr>
        <w:rFonts w:hint="default"/>
        <w:lang w:val="en-US" w:eastAsia="en-US" w:bidi="ar-SA"/>
      </w:rPr>
    </w:lvl>
    <w:lvl w:ilvl="4" w:tplc="F04C5AE4">
      <w:numFmt w:val="bullet"/>
      <w:lvlText w:val="•"/>
      <w:lvlJc w:val="left"/>
      <w:pPr>
        <w:ind w:left="2888" w:hanging="360"/>
      </w:pPr>
      <w:rPr>
        <w:rFonts w:hint="default"/>
        <w:lang w:val="en-US" w:eastAsia="en-US" w:bidi="ar-SA"/>
      </w:rPr>
    </w:lvl>
    <w:lvl w:ilvl="5" w:tplc="3FE48B54">
      <w:numFmt w:val="bullet"/>
      <w:lvlText w:val="•"/>
      <w:lvlJc w:val="left"/>
      <w:pPr>
        <w:ind w:left="3691" w:hanging="360"/>
      </w:pPr>
      <w:rPr>
        <w:rFonts w:hint="default"/>
        <w:lang w:val="en-US" w:eastAsia="en-US" w:bidi="ar-SA"/>
      </w:rPr>
    </w:lvl>
    <w:lvl w:ilvl="6" w:tplc="90F0BB36">
      <w:numFmt w:val="bullet"/>
      <w:lvlText w:val="•"/>
      <w:lvlJc w:val="left"/>
      <w:pPr>
        <w:ind w:left="4494" w:hanging="360"/>
      </w:pPr>
      <w:rPr>
        <w:rFonts w:hint="default"/>
        <w:lang w:val="en-US" w:eastAsia="en-US" w:bidi="ar-SA"/>
      </w:rPr>
    </w:lvl>
    <w:lvl w:ilvl="7" w:tplc="99CEDC2C">
      <w:numFmt w:val="bullet"/>
      <w:lvlText w:val="•"/>
      <w:lvlJc w:val="left"/>
      <w:pPr>
        <w:ind w:left="5297" w:hanging="360"/>
      </w:pPr>
      <w:rPr>
        <w:rFonts w:hint="default"/>
        <w:lang w:val="en-US" w:eastAsia="en-US" w:bidi="ar-SA"/>
      </w:rPr>
    </w:lvl>
    <w:lvl w:ilvl="8" w:tplc="403A52EE">
      <w:numFmt w:val="bullet"/>
      <w:lvlText w:val="•"/>
      <w:lvlJc w:val="left"/>
      <w:pPr>
        <w:ind w:left="6099" w:hanging="360"/>
      </w:pPr>
      <w:rPr>
        <w:rFonts w:hint="default"/>
        <w:lang w:val="en-US" w:eastAsia="en-US" w:bidi="ar-SA"/>
      </w:rPr>
    </w:lvl>
  </w:abstractNum>
  <w:abstractNum w:abstractNumId="6" w15:restartNumberingAfterBreak="0">
    <w:nsid w:val="1E433206"/>
    <w:multiLevelType w:val="hybridMultilevel"/>
    <w:tmpl w:val="0AA81E2E"/>
    <w:lvl w:ilvl="0" w:tplc="29864556">
      <w:start w:val="1"/>
      <w:numFmt w:val="bullet"/>
      <w:pStyle w:val="ListParagraph"/>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 w15:restartNumberingAfterBreak="0">
    <w:nsid w:val="3A004ABE"/>
    <w:multiLevelType w:val="hybridMultilevel"/>
    <w:tmpl w:val="4122015E"/>
    <w:lvl w:ilvl="0" w:tplc="E23A7740">
      <w:start w:val="1"/>
      <w:numFmt w:val="decimal"/>
      <w:lvlText w:val="%1."/>
      <w:lvlJc w:val="left"/>
      <w:pPr>
        <w:ind w:left="480" w:hanging="360"/>
      </w:pPr>
      <w:rPr>
        <w:rFonts w:ascii="Sora" w:eastAsia="Sora" w:hAnsi="Sora" w:cs="Sora" w:hint="default"/>
        <w:b/>
        <w:bCs/>
        <w:i w:val="0"/>
        <w:iCs w:val="0"/>
        <w:color w:val="231F20"/>
        <w:spacing w:val="0"/>
        <w:w w:val="100"/>
        <w:sz w:val="22"/>
        <w:szCs w:val="22"/>
        <w:lang w:val="en-US" w:eastAsia="en-US" w:bidi="ar-SA"/>
      </w:rPr>
    </w:lvl>
    <w:lvl w:ilvl="1" w:tplc="56D0CBBE">
      <w:numFmt w:val="bullet"/>
      <w:lvlText w:val="•"/>
      <w:lvlJc w:val="left"/>
      <w:pPr>
        <w:ind w:left="480" w:hanging="360"/>
      </w:pPr>
      <w:rPr>
        <w:rFonts w:ascii="Sora" w:eastAsia="Sora" w:hAnsi="Sora" w:cs="Sora" w:hint="default"/>
        <w:b w:val="0"/>
        <w:bCs w:val="0"/>
        <w:i w:val="0"/>
        <w:iCs w:val="0"/>
        <w:color w:val="231F20"/>
        <w:spacing w:val="0"/>
        <w:w w:val="100"/>
        <w:sz w:val="22"/>
        <w:szCs w:val="22"/>
        <w:lang w:val="en-US" w:eastAsia="en-US" w:bidi="ar-SA"/>
      </w:rPr>
    </w:lvl>
    <w:lvl w:ilvl="2" w:tplc="F08E1FDA">
      <w:numFmt w:val="bullet"/>
      <w:lvlText w:val="•"/>
      <w:lvlJc w:val="left"/>
      <w:pPr>
        <w:ind w:left="4080" w:hanging="360"/>
      </w:pPr>
      <w:rPr>
        <w:rFonts w:ascii="Sora" w:eastAsia="Sora" w:hAnsi="Sora" w:cs="Sora" w:hint="default"/>
        <w:b w:val="0"/>
        <w:bCs w:val="0"/>
        <w:i w:val="0"/>
        <w:iCs w:val="0"/>
        <w:color w:val="231F20"/>
        <w:spacing w:val="0"/>
        <w:w w:val="100"/>
        <w:sz w:val="22"/>
        <w:szCs w:val="22"/>
        <w:lang w:val="en-US" w:eastAsia="en-US" w:bidi="ar-SA"/>
      </w:rPr>
    </w:lvl>
    <w:lvl w:ilvl="3" w:tplc="4EB6EA50">
      <w:numFmt w:val="bullet"/>
      <w:lvlText w:val="•"/>
      <w:lvlJc w:val="left"/>
      <w:pPr>
        <w:ind w:left="4885" w:hanging="360"/>
      </w:pPr>
      <w:rPr>
        <w:rFonts w:hint="default"/>
        <w:lang w:val="en-US" w:eastAsia="en-US" w:bidi="ar-SA"/>
      </w:rPr>
    </w:lvl>
    <w:lvl w:ilvl="4" w:tplc="9FF6526C">
      <w:numFmt w:val="bullet"/>
      <w:lvlText w:val="•"/>
      <w:lvlJc w:val="left"/>
      <w:pPr>
        <w:ind w:left="5288" w:hanging="360"/>
      </w:pPr>
      <w:rPr>
        <w:rFonts w:hint="default"/>
        <w:lang w:val="en-US" w:eastAsia="en-US" w:bidi="ar-SA"/>
      </w:rPr>
    </w:lvl>
    <w:lvl w:ilvl="5" w:tplc="79A66F16">
      <w:numFmt w:val="bullet"/>
      <w:lvlText w:val="•"/>
      <w:lvlJc w:val="left"/>
      <w:pPr>
        <w:ind w:left="5691" w:hanging="360"/>
      </w:pPr>
      <w:rPr>
        <w:rFonts w:hint="default"/>
        <w:lang w:val="en-US" w:eastAsia="en-US" w:bidi="ar-SA"/>
      </w:rPr>
    </w:lvl>
    <w:lvl w:ilvl="6" w:tplc="3AF8C656">
      <w:numFmt w:val="bullet"/>
      <w:lvlText w:val="•"/>
      <w:lvlJc w:val="left"/>
      <w:pPr>
        <w:ind w:left="6094" w:hanging="360"/>
      </w:pPr>
      <w:rPr>
        <w:rFonts w:hint="default"/>
        <w:lang w:val="en-US" w:eastAsia="en-US" w:bidi="ar-SA"/>
      </w:rPr>
    </w:lvl>
    <w:lvl w:ilvl="7" w:tplc="5CF6DCD8">
      <w:numFmt w:val="bullet"/>
      <w:lvlText w:val="•"/>
      <w:lvlJc w:val="left"/>
      <w:pPr>
        <w:ind w:left="6497" w:hanging="360"/>
      </w:pPr>
      <w:rPr>
        <w:rFonts w:hint="default"/>
        <w:lang w:val="en-US" w:eastAsia="en-US" w:bidi="ar-SA"/>
      </w:rPr>
    </w:lvl>
    <w:lvl w:ilvl="8" w:tplc="F028C508">
      <w:numFmt w:val="bullet"/>
      <w:lvlText w:val="•"/>
      <w:lvlJc w:val="left"/>
      <w:pPr>
        <w:ind w:left="6899" w:hanging="360"/>
      </w:pPr>
      <w:rPr>
        <w:rFonts w:hint="default"/>
        <w:lang w:val="en-US" w:eastAsia="en-US" w:bidi="ar-SA"/>
      </w:rPr>
    </w:lvl>
  </w:abstractNum>
  <w:abstractNum w:abstractNumId="8" w15:restartNumberingAfterBreak="0">
    <w:nsid w:val="3A5E5AB3"/>
    <w:multiLevelType w:val="hybridMultilevel"/>
    <w:tmpl w:val="BF523C36"/>
    <w:lvl w:ilvl="0" w:tplc="75FCC60A">
      <w:start w:val="1"/>
      <w:numFmt w:val="decimal"/>
      <w:lvlText w:val="%1."/>
      <w:lvlJc w:val="left"/>
      <w:pPr>
        <w:ind w:left="480" w:hanging="360"/>
      </w:pPr>
      <w:rPr>
        <w:rFonts w:ascii="Sora" w:eastAsia="Sora" w:hAnsi="Sora" w:cs="Sora" w:hint="default"/>
        <w:b w:val="0"/>
        <w:bCs w:val="0"/>
        <w:i w:val="0"/>
        <w:iCs w:val="0"/>
        <w:color w:val="231F20"/>
        <w:spacing w:val="0"/>
        <w:w w:val="100"/>
        <w:sz w:val="22"/>
        <w:szCs w:val="22"/>
        <w:lang w:val="en-US" w:eastAsia="en-US" w:bidi="ar-SA"/>
      </w:rPr>
    </w:lvl>
    <w:lvl w:ilvl="1" w:tplc="067CFBF4">
      <w:numFmt w:val="bullet"/>
      <w:lvlText w:val="•"/>
      <w:lvlJc w:val="left"/>
      <w:pPr>
        <w:ind w:left="480" w:hanging="360"/>
      </w:pPr>
      <w:rPr>
        <w:rFonts w:ascii="Sora" w:eastAsia="Sora" w:hAnsi="Sora" w:cs="Sora" w:hint="default"/>
        <w:b/>
        <w:bCs/>
        <w:i w:val="0"/>
        <w:iCs w:val="0"/>
        <w:color w:val="231F20"/>
        <w:spacing w:val="0"/>
        <w:w w:val="100"/>
        <w:sz w:val="22"/>
        <w:szCs w:val="22"/>
        <w:lang w:val="en-US" w:eastAsia="en-US" w:bidi="ar-SA"/>
      </w:rPr>
    </w:lvl>
    <w:lvl w:ilvl="2" w:tplc="49AA4F26">
      <w:numFmt w:val="bullet"/>
      <w:lvlText w:val="•"/>
      <w:lvlJc w:val="left"/>
      <w:pPr>
        <w:ind w:left="776" w:hanging="360"/>
      </w:pPr>
      <w:rPr>
        <w:rFonts w:hint="default"/>
        <w:lang w:val="en-US" w:eastAsia="en-US" w:bidi="ar-SA"/>
      </w:rPr>
    </w:lvl>
    <w:lvl w:ilvl="3" w:tplc="B5527DD4">
      <w:numFmt w:val="bullet"/>
      <w:lvlText w:val="•"/>
      <w:lvlJc w:val="left"/>
      <w:pPr>
        <w:ind w:left="925" w:hanging="360"/>
      </w:pPr>
      <w:rPr>
        <w:rFonts w:hint="default"/>
        <w:lang w:val="en-US" w:eastAsia="en-US" w:bidi="ar-SA"/>
      </w:rPr>
    </w:lvl>
    <w:lvl w:ilvl="4" w:tplc="B2E23738">
      <w:numFmt w:val="bullet"/>
      <w:lvlText w:val="•"/>
      <w:lvlJc w:val="left"/>
      <w:pPr>
        <w:ind w:left="1073" w:hanging="360"/>
      </w:pPr>
      <w:rPr>
        <w:rFonts w:hint="default"/>
        <w:lang w:val="en-US" w:eastAsia="en-US" w:bidi="ar-SA"/>
      </w:rPr>
    </w:lvl>
    <w:lvl w:ilvl="5" w:tplc="BE289CCA">
      <w:numFmt w:val="bullet"/>
      <w:lvlText w:val="•"/>
      <w:lvlJc w:val="left"/>
      <w:pPr>
        <w:ind w:left="1222" w:hanging="360"/>
      </w:pPr>
      <w:rPr>
        <w:rFonts w:hint="default"/>
        <w:lang w:val="en-US" w:eastAsia="en-US" w:bidi="ar-SA"/>
      </w:rPr>
    </w:lvl>
    <w:lvl w:ilvl="6" w:tplc="7D42E520">
      <w:numFmt w:val="bullet"/>
      <w:lvlText w:val="•"/>
      <w:lvlJc w:val="left"/>
      <w:pPr>
        <w:ind w:left="1370" w:hanging="360"/>
      </w:pPr>
      <w:rPr>
        <w:rFonts w:hint="default"/>
        <w:lang w:val="en-US" w:eastAsia="en-US" w:bidi="ar-SA"/>
      </w:rPr>
    </w:lvl>
    <w:lvl w:ilvl="7" w:tplc="98BA8D1E">
      <w:numFmt w:val="bullet"/>
      <w:lvlText w:val="•"/>
      <w:lvlJc w:val="left"/>
      <w:pPr>
        <w:ind w:left="1518" w:hanging="360"/>
      </w:pPr>
      <w:rPr>
        <w:rFonts w:hint="default"/>
        <w:lang w:val="en-US" w:eastAsia="en-US" w:bidi="ar-SA"/>
      </w:rPr>
    </w:lvl>
    <w:lvl w:ilvl="8" w:tplc="38160B0E">
      <w:numFmt w:val="bullet"/>
      <w:lvlText w:val="•"/>
      <w:lvlJc w:val="left"/>
      <w:pPr>
        <w:ind w:left="1667" w:hanging="360"/>
      </w:pPr>
      <w:rPr>
        <w:rFonts w:hint="default"/>
        <w:lang w:val="en-US" w:eastAsia="en-US" w:bidi="ar-SA"/>
      </w:rPr>
    </w:lvl>
  </w:abstractNum>
  <w:abstractNum w:abstractNumId="9" w15:restartNumberingAfterBreak="0">
    <w:nsid w:val="3FDB682C"/>
    <w:multiLevelType w:val="hybridMultilevel"/>
    <w:tmpl w:val="54328022"/>
    <w:lvl w:ilvl="0" w:tplc="347286C8">
      <w:start w:val="1"/>
      <w:numFmt w:val="decimal"/>
      <w:lvlText w:val="%1."/>
      <w:lvlJc w:val="left"/>
      <w:pPr>
        <w:ind w:left="480" w:hanging="360"/>
      </w:pPr>
      <w:rPr>
        <w:rFonts w:ascii="Sora" w:eastAsia="Sora" w:hAnsi="Sora" w:cs="Sora" w:hint="default"/>
        <w:b w:val="0"/>
        <w:bCs w:val="0"/>
        <w:i w:val="0"/>
        <w:iCs w:val="0"/>
        <w:color w:val="231F20"/>
        <w:spacing w:val="0"/>
        <w:w w:val="100"/>
        <w:sz w:val="22"/>
        <w:szCs w:val="22"/>
        <w:lang w:val="en-US" w:eastAsia="en-US" w:bidi="ar-SA"/>
      </w:rPr>
    </w:lvl>
    <w:lvl w:ilvl="1" w:tplc="0F14B10C">
      <w:numFmt w:val="bullet"/>
      <w:lvlText w:val="•"/>
      <w:lvlJc w:val="left"/>
      <w:pPr>
        <w:ind w:left="1115" w:hanging="360"/>
      </w:pPr>
      <w:rPr>
        <w:rFonts w:hint="default"/>
        <w:lang w:val="en-US" w:eastAsia="en-US" w:bidi="ar-SA"/>
      </w:rPr>
    </w:lvl>
    <w:lvl w:ilvl="2" w:tplc="95044DF2">
      <w:numFmt w:val="bullet"/>
      <w:lvlText w:val="•"/>
      <w:lvlJc w:val="left"/>
      <w:pPr>
        <w:ind w:left="1750" w:hanging="360"/>
      </w:pPr>
      <w:rPr>
        <w:rFonts w:hint="default"/>
        <w:lang w:val="en-US" w:eastAsia="en-US" w:bidi="ar-SA"/>
      </w:rPr>
    </w:lvl>
    <w:lvl w:ilvl="3" w:tplc="8DEAC9BA">
      <w:numFmt w:val="bullet"/>
      <w:lvlText w:val="•"/>
      <w:lvlJc w:val="left"/>
      <w:pPr>
        <w:ind w:left="2385" w:hanging="360"/>
      </w:pPr>
      <w:rPr>
        <w:rFonts w:hint="default"/>
        <w:lang w:val="en-US" w:eastAsia="en-US" w:bidi="ar-SA"/>
      </w:rPr>
    </w:lvl>
    <w:lvl w:ilvl="4" w:tplc="8C32F08C">
      <w:numFmt w:val="bullet"/>
      <w:lvlText w:val="•"/>
      <w:lvlJc w:val="left"/>
      <w:pPr>
        <w:ind w:left="3020" w:hanging="360"/>
      </w:pPr>
      <w:rPr>
        <w:rFonts w:hint="default"/>
        <w:lang w:val="en-US" w:eastAsia="en-US" w:bidi="ar-SA"/>
      </w:rPr>
    </w:lvl>
    <w:lvl w:ilvl="5" w:tplc="F17CB3DA">
      <w:numFmt w:val="bullet"/>
      <w:lvlText w:val="•"/>
      <w:lvlJc w:val="left"/>
      <w:pPr>
        <w:ind w:left="3655" w:hanging="360"/>
      </w:pPr>
      <w:rPr>
        <w:rFonts w:hint="default"/>
        <w:lang w:val="en-US" w:eastAsia="en-US" w:bidi="ar-SA"/>
      </w:rPr>
    </w:lvl>
    <w:lvl w:ilvl="6" w:tplc="340E7A36">
      <w:numFmt w:val="bullet"/>
      <w:lvlText w:val="•"/>
      <w:lvlJc w:val="left"/>
      <w:pPr>
        <w:ind w:left="4290" w:hanging="360"/>
      </w:pPr>
      <w:rPr>
        <w:rFonts w:hint="default"/>
        <w:lang w:val="en-US" w:eastAsia="en-US" w:bidi="ar-SA"/>
      </w:rPr>
    </w:lvl>
    <w:lvl w:ilvl="7" w:tplc="0292E39A">
      <w:numFmt w:val="bullet"/>
      <w:lvlText w:val="•"/>
      <w:lvlJc w:val="left"/>
      <w:pPr>
        <w:ind w:left="4925" w:hanging="360"/>
      </w:pPr>
      <w:rPr>
        <w:rFonts w:hint="default"/>
        <w:lang w:val="en-US" w:eastAsia="en-US" w:bidi="ar-SA"/>
      </w:rPr>
    </w:lvl>
    <w:lvl w:ilvl="8" w:tplc="1B7A8154">
      <w:numFmt w:val="bullet"/>
      <w:lvlText w:val="•"/>
      <w:lvlJc w:val="left"/>
      <w:pPr>
        <w:ind w:left="5560" w:hanging="360"/>
      </w:pPr>
      <w:rPr>
        <w:rFonts w:hint="default"/>
        <w:lang w:val="en-US" w:eastAsia="en-US" w:bidi="ar-SA"/>
      </w:rPr>
    </w:lvl>
  </w:abstractNum>
  <w:abstractNum w:abstractNumId="10" w15:restartNumberingAfterBreak="0">
    <w:nsid w:val="53442D62"/>
    <w:multiLevelType w:val="hybridMultilevel"/>
    <w:tmpl w:val="9A58A72A"/>
    <w:lvl w:ilvl="0" w:tplc="A76EC5FA">
      <w:numFmt w:val="bullet"/>
      <w:lvlText w:val="•"/>
      <w:lvlJc w:val="left"/>
      <w:pPr>
        <w:ind w:left="480" w:hanging="360"/>
      </w:pPr>
      <w:rPr>
        <w:rFonts w:ascii="Sora" w:eastAsia="Sora" w:hAnsi="Sora" w:cs="Sora" w:hint="default"/>
        <w:b w:val="0"/>
        <w:bCs w:val="0"/>
        <w:i w:val="0"/>
        <w:iCs w:val="0"/>
        <w:color w:val="231F20"/>
        <w:spacing w:val="0"/>
        <w:w w:val="100"/>
        <w:sz w:val="22"/>
        <w:szCs w:val="22"/>
        <w:lang w:val="en-US" w:eastAsia="en-US" w:bidi="ar-SA"/>
      </w:rPr>
    </w:lvl>
    <w:lvl w:ilvl="1" w:tplc="C5F85D76">
      <w:numFmt w:val="bullet"/>
      <w:lvlText w:val="•"/>
      <w:lvlJc w:val="left"/>
      <w:pPr>
        <w:ind w:left="4088" w:hanging="360"/>
      </w:pPr>
      <w:rPr>
        <w:rFonts w:ascii="Sora" w:eastAsia="Sora" w:hAnsi="Sora" w:cs="Sora" w:hint="default"/>
        <w:b w:val="0"/>
        <w:bCs w:val="0"/>
        <w:i w:val="0"/>
        <w:iCs w:val="0"/>
        <w:color w:val="231F20"/>
        <w:spacing w:val="0"/>
        <w:w w:val="100"/>
        <w:sz w:val="22"/>
        <w:szCs w:val="22"/>
        <w:lang w:val="en-US" w:eastAsia="en-US" w:bidi="ar-SA"/>
      </w:rPr>
    </w:lvl>
    <w:lvl w:ilvl="2" w:tplc="D9AEA75A">
      <w:numFmt w:val="bullet"/>
      <w:lvlText w:val="•"/>
      <w:lvlJc w:val="left"/>
      <w:pPr>
        <w:ind w:left="4882" w:hanging="360"/>
      </w:pPr>
      <w:rPr>
        <w:rFonts w:hint="default"/>
        <w:lang w:val="en-US" w:eastAsia="en-US" w:bidi="ar-SA"/>
      </w:rPr>
    </w:lvl>
    <w:lvl w:ilvl="3" w:tplc="BAB68820">
      <w:numFmt w:val="bullet"/>
      <w:lvlText w:val="•"/>
      <w:lvlJc w:val="left"/>
      <w:pPr>
        <w:ind w:left="5685" w:hanging="360"/>
      </w:pPr>
      <w:rPr>
        <w:rFonts w:hint="default"/>
        <w:lang w:val="en-US" w:eastAsia="en-US" w:bidi="ar-SA"/>
      </w:rPr>
    </w:lvl>
    <w:lvl w:ilvl="4" w:tplc="AB8E1598">
      <w:numFmt w:val="bullet"/>
      <w:lvlText w:val="•"/>
      <w:lvlJc w:val="left"/>
      <w:pPr>
        <w:ind w:left="6488" w:hanging="360"/>
      </w:pPr>
      <w:rPr>
        <w:rFonts w:hint="default"/>
        <w:lang w:val="en-US" w:eastAsia="en-US" w:bidi="ar-SA"/>
      </w:rPr>
    </w:lvl>
    <w:lvl w:ilvl="5" w:tplc="D0AC0774">
      <w:numFmt w:val="bullet"/>
      <w:lvlText w:val="•"/>
      <w:lvlJc w:val="left"/>
      <w:pPr>
        <w:ind w:left="7291" w:hanging="360"/>
      </w:pPr>
      <w:rPr>
        <w:rFonts w:hint="default"/>
        <w:lang w:val="en-US" w:eastAsia="en-US" w:bidi="ar-SA"/>
      </w:rPr>
    </w:lvl>
    <w:lvl w:ilvl="6" w:tplc="4E20BB0E">
      <w:numFmt w:val="bullet"/>
      <w:lvlText w:val="•"/>
      <w:lvlJc w:val="left"/>
      <w:pPr>
        <w:ind w:left="8094" w:hanging="360"/>
      </w:pPr>
      <w:rPr>
        <w:rFonts w:hint="default"/>
        <w:lang w:val="en-US" w:eastAsia="en-US" w:bidi="ar-SA"/>
      </w:rPr>
    </w:lvl>
    <w:lvl w:ilvl="7" w:tplc="8278B088">
      <w:numFmt w:val="bullet"/>
      <w:lvlText w:val="•"/>
      <w:lvlJc w:val="left"/>
      <w:pPr>
        <w:ind w:left="8897" w:hanging="360"/>
      </w:pPr>
      <w:rPr>
        <w:rFonts w:hint="default"/>
        <w:lang w:val="en-US" w:eastAsia="en-US" w:bidi="ar-SA"/>
      </w:rPr>
    </w:lvl>
    <w:lvl w:ilvl="8" w:tplc="DD0E23B4">
      <w:numFmt w:val="bullet"/>
      <w:lvlText w:val="•"/>
      <w:lvlJc w:val="left"/>
      <w:pPr>
        <w:ind w:left="9699" w:hanging="360"/>
      </w:pPr>
      <w:rPr>
        <w:rFonts w:hint="default"/>
        <w:lang w:val="en-US" w:eastAsia="en-US" w:bidi="ar-SA"/>
      </w:rPr>
    </w:lvl>
  </w:abstractNum>
  <w:abstractNum w:abstractNumId="11" w15:restartNumberingAfterBreak="0">
    <w:nsid w:val="578F456C"/>
    <w:multiLevelType w:val="hybridMultilevel"/>
    <w:tmpl w:val="23BC2626"/>
    <w:lvl w:ilvl="0" w:tplc="EEEEE6D4">
      <w:start w:val="1"/>
      <w:numFmt w:val="decimal"/>
      <w:lvlText w:val="%1."/>
      <w:lvlJc w:val="left"/>
      <w:pPr>
        <w:ind w:left="471" w:hanging="360"/>
      </w:pPr>
      <w:rPr>
        <w:rFonts w:ascii="Sora" w:eastAsia="Sora" w:hAnsi="Sora" w:cs="Sora" w:hint="default"/>
        <w:b/>
        <w:bCs/>
        <w:i w:val="0"/>
        <w:iCs w:val="0"/>
        <w:color w:val="231F20"/>
        <w:spacing w:val="0"/>
        <w:w w:val="100"/>
        <w:sz w:val="22"/>
        <w:szCs w:val="22"/>
        <w:lang w:val="en-US" w:eastAsia="en-US" w:bidi="ar-SA"/>
      </w:rPr>
    </w:lvl>
    <w:lvl w:ilvl="1" w:tplc="155488CA">
      <w:numFmt w:val="bullet"/>
      <w:lvlText w:val="•"/>
      <w:lvlJc w:val="left"/>
      <w:pPr>
        <w:ind w:left="471" w:hanging="360"/>
      </w:pPr>
      <w:rPr>
        <w:rFonts w:ascii="Sora" w:eastAsia="Sora" w:hAnsi="Sora" w:cs="Sora" w:hint="default"/>
        <w:b w:val="0"/>
        <w:bCs w:val="0"/>
        <w:i w:val="0"/>
        <w:iCs w:val="0"/>
        <w:color w:val="231F20"/>
        <w:spacing w:val="0"/>
        <w:w w:val="100"/>
        <w:sz w:val="22"/>
        <w:szCs w:val="22"/>
        <w:lang w:val="en-US" w:eastAsia="en-US" w:bidi="ar-SA"/>
      </w:rPr>
    </w:lvl>
    <w:lvl w:ilvl="2" w:tplc="21ECD972">
      <w:numFmt w:val="bullet"/>
      <w:lvlText w:val="•"/>
      <w:lvlJc w:val="left"/>
      <w:pPr>
        <w:ind w:left="4080" w:hanging="360"/>
      </w:pPr>
      <w:rPr>
        <w:rFonts w:ascii="Sora" w:eastAsia="Sora" w:hAnsi="Sora" w:cs="Sora" w:hint="default"/>
        <w:b w:val="0"/>
        <w:bCs w:val="0"/>
        <w:i w:val="0"/>
        <w:iCs w:val="0"/>
        <w:color w:val="231F20"/>
        <w:spacing w:val="0"/>
        <w:w w:val="100"/>
        <w:sz w:val="22"/>
        <w:szCs w:val="22"/>
        <w:lang w:val="en-US" w:eastAsia="en-US" w:bidi="ar-SA"/>
      </w:rPr>
    </w:lvl>
    <w:lvl w:ilvl="3" w:tplc="7C9007A4">
      <w:numFmt w:val="bullet"/>
      <w:lvlText w:val="•"/>
      <w:lvlJc w:val="left"/>
      <w:pPr>
        <w:ind w:left="4156" w:hanging="360"/>
      </w:pPr>
      <w:rPr>
        <w:rFonts w:hint="default"/>
        <w:lang w:val="en-US" w:eastAsia="en-US" w:bidi="ar-SA"/>
      </w:rPr>
    </w:lvl>
    <w:lvl w:ilvl="4" w:tplc="9DD68820">
      <w:numFmt w:val="bullet"/>
      <w:lvlText w:val="•"/>
      <w:lvlJc w:val="left"/>
      <w:pPr>
        <w:ind w:left="4232" w:hanging="360"/>
      </w:pPr>
      <w:rPr>
        <w:rFonts w:hint="default"/>
        <w:lang w:val="en-US" w:eastAsia="en-US" w:bidi="ar-SA"/>
      </w:rPr>
    </w:lvl>
    <w:lvl w:ilvl="5" w:tplc="B8485AE4">
      <w:numFmt w:val="bullet"/>
      <w:lvlText w:val="•"/>
      <w:lvlJc w:val="left"/>
      <w:pPr>
        <w:ind w:left="4308" w:hanging="360"/>
      </w:pPr>
      <w:rPr>
        <w:rFonts w:hint="default"/>
        <w:lang w:val="en-US" w:eastAsia="en-US" w:bidi="ar-SA"/>
      </w:rPr>
    </w:lvl>
    <w:lvl w:ilvl="6" w:tplc="32DEB9F8">
      <w:numFmt w:val="bullet"/>
      <w:lvlText w:val="•"/>
      <w:lvlJc w:val="left"/>
      <w:pPr>
        <w:ind w:left="4384" w:hanging="360"/>
      </w:pPr>
      <w:rPr>
        <w:rFonts w:hint="default"/>
        <w:lang w:val="en-US" w:eastAsia="en-US" w:bidi="ar-SA"/>
      </w:rPr>
    </w:lvl>
    <w:lvl w:ilvl="7" w:tplc="13225A02">
      <w:numFmt w:val="bullet"/>
      <w:lvlText w:val="•"/>
      <w:lvlJc w:val="left"/>
      <w:pPr>
        <w:ind w:left="4460" w:hanging="360"/>
      </w:pPr>
      <w:rPr>
        <w:rFonts w:hint="default"/>
        <w:lang w:val="en-US" w:eastAsia="en-US" w:bidi="ar-SA"/>
      </w:rPr>
    </w:lvl>
    <w:lvl w:ilvl="8" w:tplc="77A47234">
      <w:numFmt w:val="bullet"/>
      <w:lvlText w:val="•"/>
      <w:lvlJc w:val="left"/>
      <w:pPr>
        <w:ind w:left="4537" w:hanging="360"/>
      </w:pPr>
      <w:rPr>
        <w:rFonts w:hint="default"/>
        <w:lang w:val="en-US" w:eastAsia="en-US" w:bidi="ar-SA"/>
      </w:rPr>
    </w:lvl>
  </w:abstractNum>
  <w:abstractNum w:abstractNumId="12" w15:restartNumberingAfterBreak="0">
    <w:nsid w:val="59D87766"/>
    <w:multiLevelType w:val="hybridMultilevel"/>
    <w:tmpl w:val="CC825340"/>
    <w:lvl w:ilvl="0" w:tplc="59C08FC4">
      <w:start w:val="1"/>
      <w:numFmt w:val="decimal"/>
      <w:lvlText w:val="%1."/>
      <w:lvlJc w:val="left"/>
      <w:pPr>
        <w:ind w:left="480" w:hanging="360"/>
      </w:pPr>
      <w:rPr>
        <w:rFonts w:ascii="Sora" w:eastAsia="Sora" w:hAnsi="Sora" w:cs="Sora" w:hint="default"/>
        <w:b/>
        <w:bCs/>
        <w:i w:val="0"/>
        <w:iCs w:val="0"/>
        <w:color w:val="231F20"/>
        <w:spacing w:val="0"/>
        <w:w w:val="100"/>
        <w:sz w:val="22"/>
        <w:szCs w:val="22"/>
        <w:lang w:val="en-US" w:eastAsia="en-US" w:bidi="ar-SA"/>
      </w:rPr>
    </w:lvl>
    <w:lvl w:ilvl="1" w:tplc="B894A266">
      <w:numFmt w:val="bullet"/>
      <w:lvlText w:val="•"/>
      <w:lvlJc w:val="left"/>
      <w:pPr>
        <w:ind w:left="480" w:hanging="360"/>
      </w:pPr>
      <w:rPr>
        <w:rFonts w:ascii="Sora" w:eastAsia="Sora" w:hAnsi="Sora" w:cs="Sora" w:hint="default"/>
        <w:b w:val="0"/>
        <w:bCs w:val="0"/>
        <w:i w:val="0"/>
        <w:iCs w:val="0"/>
        <w:color w:val="231F20"/>
        <w:spacing w:val="0"/>
        <w:w w:val="100"/>
        <w:sz w:val="22"/>
        <w:szCs w:val="22"/>
        <w:lang w:val="en-US" w:eastAsia="en-US" w:bidi="ar-SA"/>
      </w:rPr>
    </w:lvl>
    <w:lvl w:ilvl="2" w:tplc="B986F180">
      <w:numFmt w:val="bullet"/>
      <w:lvlText w:val="•"/>
      <w:lvlJc w:val="left"/>
      <w:pPr>
        <w:ind w:left="1923" w:hanging="360"/>
      </w:pPr>
      <w:rPr>
        <w:rFonts w:hint="default"/>
        <w:lang w:val="en-US" w:eastAsia="en-US" w:bidi="ar-SA"/>
      </w:rPr>
    </w:lvl>
    <w:lvl w:ilvl="3" w:tplc="66C6476C">
      <w:numFmt w:val="bullet"/>
      <w:lvlText w:val="•"/>
      <w:lvlJc w:val="left"/>
      <w:pPr>
        <w:ind w:left="2645" w:hanging="360"/>
      </w:pPr>
      <w:rPr>
        <w:rFonts w:hint="default"/>
        <w:lang w:val="en-US" w:eastAsia="en-US" w:bidi="ar-SA"/>
      </w:rPr>
    </w:lvl>
    <w:lvl w:ilvl="4" w:tplc="5A1442AC">
      <w:numFmt w:val="bullet"/>
      <w:lvlText w:val="•"/>
      <w:lvlJc w:val="left"/>
      <w:pPr>
        <w:ind w:left="3366" w:hanging="360"/>
      </w:pPr>
      <w:rPr>
        <w:rFonts w:hint="default"/>
        <w:lang w:val="en-US" w:eastAsia="en-US" w:bidi="ar-SA"/>
      </w:rPr>
    </w:lvl>
    <w:lvl w:ilvl="5" w:tplc="2B96997E">
      <w:numFmt w:val="bullet"/>
      <w:lvlText w:val="•"/>
      <w:lvlJc w:val="left"/>
      <w:pPr>
        <w:ind w:left="4088" w:hanging="360"/>
      </w:pPr>
      <w:rPr>
        <w:rFonts w:hint="default"/>
        <w:lang w:val="en-US" w:eastAsia="en-US" w:bidi="ar-SA"/>
      </w:rPr>
    </w:lvl>
    <w:lvl w:ilvl="6" w:tplc="E084BED2">
      <w:numFmt w:val="bullet"/>
      <w:lvlText w:val="•"/>
      <w:lvlJc w:val="left"/>
      <w:pPr>
        <w:ind w:left="4810" w:hanging="360"/>
      </w:pPr>
      <w:rPr>
        <w:rFonts w:hint="default"/>
        <w:lang w:val="en-US" w:eastAsia="en-US" w:bidi="ar-SA"/>
      </w:rPr>
    </w:lvl>
    <w:lvl w:ilvl="7" w:tplc="12E688E8">
      <w:numFmt w:val="bullet"/>
      <w:lvlText w:val="•"/>
      <w:lvlJc w:val="left"/>
      <w:pPr>
        <w:ind w:left="5531" w:hanging="360"/>
      </w:pPr>
      <w:rPr>
        <w:rFonts w:hint="default"/>
        <w:lang w:val="en-US" w:eastAsia="en-US" w:bidi="ar-SA"/>
      </w:rPr>
    </w:lvl>
    <w:lvl w:ilvl="8" w:tplc="95C2B4D2">
      <w:numFmt w:val="bullet"/>
      <w:lvlText w:val="•"/>
      <w:lvlJc w:val="left"/>
      <w:pPr>
        <w:ind w:left="6253" w:hanging="360"/>
      </w:pPr>
      <w:rPr>
        <w:rFonts w:hint="default"/>
        <w:lang w:val="en-US" w:eastAsia="en-US" w:bidi="ar-SA"/>
      </w:rPr>
    </w:lvl>
  </w:abstractNum>
  <w:abstractNum w:abstractNumId="13" w15:restartNumberingAfterBreak="0">
    <w:nsid w:val="59D92630"/>
    <w:multiLevelType w:val="hybridMultilevel"/>
    <w:tmpl w:val="78A267A6"/>
    <w:lvl w:ilvl="0" w:tplc="BB90FE00">
      <w:start w:val="1"/>
      <w:numFmt w:val="decimal"/>
      <w:lvlText w:val="%1."/>
      <w:lvlJc w:val="left"/>
      <w:pPr>
        <w:ind w:left="471" w:hanging="360"/>
      </w:pPr>
      <w:rPr>
        <w:rFonts w:ascii="Sora" w:eastAsia="Sora" w:hAnsi="Sora" w:cs="Sora" w:hint="default"/>
        <w:b/>
        <w:bCs/>
        <w:i w:val="0"/>
        <w:iCs w:val="0"/>
        <w:color w:val="231F20"/>
        <w:spacing w:val="0"/>
        <w:w w:val="100"/>
        <w:sz w:val="22"/>
        <w:szCs w:val="22"/>
        <w:lang w:val="en-US" w:eastAsia="en-US" w:bidi="ar-SA"/>
      </w:rPr>
    </w:lvl>
    <w:lvl w:ilvl="1" w:tplc="F9968790">
      <w:numFmt w:val="bullet"/>
      <w:lvlText w:val="•"/>
      <w:lvlJc w:val="left"/>
      <w:pPr>
        <w:ind w:left="471" w:hanging="360"/>
      </w:pPr>
      <w:rPr>
        <w:rFonts w:ascii="Sora" w:eastAsia="Sora" w:hAnsi="Sora" w:cs="Sora" w:hint="default"/>
        <w:b w:val="0"/>
        <w:bCs w:val="0"/>
        <w:i w:val="0"/>
        <w:iCs w:val="0"/>
        <w:color w:val="231F20"/>
        <w:spacing w:val="0"/>
        <w:w w:val="100"/>
        <w:sz w:val="22"/>
        <w:szCs w:val="22"/>
        <w:lang w:val="en-US" w:eastAsia="en-US" w:bidi="ar-SA"/>
      </w:rPr>
    </w:lvl>
    <w:lvl w:ilvl="2" w:tplc="2996BB0E">
      <w:numFmt w:val="bullet"/>
      <w:lvlText w:val="•"/>
      <w:lvlJc w:val="left"/>
      <w:pPr>
        <w:ind w:left="1923" w:hanging="360"/>
      </w:pPr>
      <w:rPr>
        <w:rFonts w:hint="default"/>
        <w:lang w:val="en-US" w:eastAsia="en-US" w:bidi="ar-SA"/>
      </w:rPr>
    </w:lvl>
    <w:lvl w:ilvl="3" w:tplc="962481A4">
      <w:numFmt w:val="bullet"/>
      <w:lvlText w:val="•"/>
      <w:lvlJc w:val="left"/>
      <w:pPr>
        <w:ind w:left="2645" w:hanging="360"/>
      </w:pPr>
      <w:rPr>
        <w:rFonts w:hint="default"/>
        <w:lang w:val="en-US" w:eastAsia="en-US" w:bidi="ar-SA"/>
      </w:rPr>
    </w:lvl>
    <w:lvl w:ilvl="4" w:tplc="F3FA512C">
      <w:numFmt w:val="bullet"/>
      <w:lvlText w:val="•"/>
      <w:lvlJc w:val="left"/>
      <w:pPr>
        <w:ind w:left="3366" w:hanging="360"/>
      </w:pPr>
      <w:rPr>
        <w:rFonts w:hint="default"/>
        <w:lang w:val="en-US" w:eastAsia="en-US" w:bidi="ar-SA"/>
      </w:rPr>
    </w:lvl>
    <w:lvl w:ilvl="5" w:tplc="9C504478">
      <w:numFmt w:val="bullet"/>
      <w:lvlText w:val="•"/>
      <w:lvlJc w:val="left"/>
      <w:pPr>
        <w:ind w:left="4088" w:hanging="360"/>
      </w:pPr>
      <w:rPr>
        <w:rFonts w:hint="default"/>
        <w:lang w:val="en-US" w:eastAsia="en-US" w:bidi="ar-SA"/>
      </w:rPr>
    </w:lvl>
    <w:lvl w:ilvl="6" w:tplc="24C60FEE">
      <w:numFmt w:val="bullet"/>
      <w:lvlText w:val="•"/>
      <w:lvlJc w:val="left"/>
      <w:pPr>
        <w:ind w:left="4810" w:hanging="360"/>
      </w:pPr>
      <w:rPr>
        <w:rFonts w:hint="default"/>
        <w:lang w:val="en-US" w:eastAsia="en-US" w:bidi="ar-SA"/>
      </w:rPr>
    </w:lvl>
    <w:lvl w:ilvl="7" w:tplc="812267EC">
      <w:numFmt w:val="bullet"/>
      <w:lvlText w:val="•"/>
      <w:lvlJc w:val="left"/>
      <w:pPr>
        <w:ind w:left="5531" w:hanging="360"/>
      </w:pPr>
      <w:rPr>
        <w:rFonts w:hint="default"/>
        <w:lang w:val="en-US" w:eastAsia="en-US" w:bidi="ar-SA"/>
      </w:rPr>
    </w:lvl>
    <w:lvl w:ilvl="8" w:tplc="26DE9FB4">
      <w:numFmt w:val="bullet"/>
      <w:lvlText w:val="•"/>
      <w:lvlJc w:val="left"/>
      <w:pPr>
        <w:ind w:left="6253" w:hanging="360"/>
      </w:pPr>
      <w:rPr>
        <w:rFonts w:hint="default"/>
        <w:lang w:val="en-US" w:eastAsia="en-US" w:bidi="ar-SA"/>
      </w:rPr>
    </w:lvl>
  </w:abstractNum>
  <w:abstractNum w:abstractNumId="14" w15:restartNumberingAfterBreak="0">
    <w:nsid w:val="5DAD112C"/>
    <w:multiLevelType w:val="hybridMultilevel"/>
    <w:tmpl w:val="3F1EBDB8"/>
    <w:lvl w:ilvl="0" w:tplc="8E3ABD3C">
      <w:numFmt w:val="bullet"/>
      <w:lvlText w:val="-"/>
      <w:lvlJc w:val="left"/>
      <w:pPr>
        <w:ind w:left="480" w:hanging="360"/>
      </w:pPr>
      <w:rPr>
        <w:rFonts w:ascii="Arial" w:eastAsia="Sora" w:hAnsi="Arial" w:cs="Aria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15" w15:restartNumberingAfterBreak="0">
    <w:nsid w:val="5EC167CB"/>
    <w:multiLevelType w:val="hybridMultilevel"/>
    <w:tmpl w:val="24FC41AC"/>
    <w:lvl w:ilvl="0" w:tplc="BEECEFC2">
      <w:start w:val="3"/>
      <w:numFmt w:val="decimal"/>
      <w:lvlText w:val="%1."/>
      <w:lvlJc w:val="left"/>
      <w:pPr>
        <w:ind w:left="3982" w:hanging="246"/>
      </w:pPr>
      <w:rPr>
        <w:rFonts w:ascii="Sora" w:eastAsia="Sora" w:hAnsi="Sora" w:cs="Sora" w:hint="default"/>
        <w:b/>
        <w:bCs/>
        <w:i w:val="0"/>
        <w:iCs w:val="0"/>
        <w:color w:val="231F20"/>
        <w:spacing w:val="0"/>
        <w:w w:val="100"/>
        <w:sz w:val="22"/>
        <w:szCs w:val="22"/>
        <w:lang w:val="en-US" w:eastAsia="en-US" w:bidi="ar-SA"/>
      </w:rPr>
    </w:lvl>
    <w:lvl w:ilvl="1" w:tplc="90709A8A">
      <w:numFmt w:val="bullet"/>
      <w:lvlText w:val="•"/>
      <w:lvlJc w:val="left"/>
      <w:pPr>
        <w:ind w:left="4088" w:hanging="360"/>
      </w:pPr>
      <w:rPr>
        <w:rFonts w:ascii="Sora" w:eastAsia="Sora" w:hAnsi="Sora" w:cs="Sora" w:hint="default"/>
        <w:b w:val="0"/>
        <w:bCs w:val="0"/>
        <w:i w:val="0"/>
        <w:iCs w:val="0"/>
        <w:color w:val="231F20"/>
        <w:spacing w:val="0"/>
        <w:w w:val="100"/>
        <w:sz w:val="22"/>
        <w:szCs w:val="22"/>
        <w:lang w:val="en-US" w:eastAsia="en-US" w:bidi="ar-SA"/>
      </w:rPr>
    </w:lvl>
    <w:lvl w:ilvl="2" w:tplc="50A8B4F8">
      <w:numFmt w:val="bullet"/>
      <w:lvlText w:val="•"/>
      <w:lvlJc w:val="left"/>
      <w:pPr>
        <w:ind w:left="4400" w:hanging="360"/>
      </w:pPr>
      <w:rPr>
        <w:rFonts w:hint="default"/>
        <w:lang w:val="en-US" w:eastAsia="en-US" w:bidi="ar-SA"/>
      </w:rPr>
    </w:lvl>
    <w:lvl w:ilvl="3" w:tplc="438E10EE">
      <w:numFmt w:val="bullet"/>
      <w:lvlText w:val="•"/>
      <w:lvlJc w:val="left"/>
      <w:pPr>
        <w:ind w:left="4721" w:hanging="360"/>
      </w:pPr>
      <w:rPr>
        <w:rFonts w:hint="default"/>
        <w:lang w:val="en-US" w:eastAsia="en-US" w:bidi="ar-SA"/>
      </w:rPr>
    </w:lvl>
    <w:lvl w:ilvl="4" w:tplc="E6CCA260">
      <w:numFmt w:val="bullet"/>
      <w:lvlText w:val="•"/>
      <w:lvlJc w:val="left"/>
      <w:pPr>
        <w:ind w:left="5042" w:hanging="360"/>
      </w:pPr>
      <w:rPr>
        <w:rFonts w:hint="default"/>
        <w:lang w:val="en-US" w:eastAsia="en-US" w:bidi="ar-SA"/>
      </w:rPr>
    </w:lvl>
    <w:lvl w:ilvl="5" w:tplc="DF86961E">
      <w:numFmt w:val="bullet"/>
      <w:lvlText w:val="•"/>
      <w:lvlJc w:val="left"/>
      <w:pPr>
        <w:ind w:left="5362" w:hanging="360"/>
      </w:pPr>
      <w:rPr>
        <w:rFonts w:hint="default"/>
        <w:lang w:val="en-US" w:eastAsia="en-US" w:bidi="ar-SA"/>
      </w:rPr>
    </w:lvl>
    <w:lvl w:ilvl="6" w:tplc="803A8E4A">
      <w:numFmt w:val="bullet"/>
      <w:lvlText w:val="•"/>
      <w:lvlJc w:val="left"/>
      <w:pPr>
        <w:ind w:left="5683" w:hanging="360"/>
      </w:pPr>
      <w:rPr>
        <w:rFonts w:hint="default"/>
        <w:lang w:val="en-US" w:eastAsia="en-US" w:bidi="ar-SA"/>
      </w:rPr>
    </w:lvl>
    <w:lvl w:ilvl="7" w:tplc="312AA828">
      <w:numFmt w:val="bullet"/>
      <w:lvlText w:val="•"/>
      <w:lvlJc w:val="left"/>
      <w:pPr>
        <w:ind w:left="6004" w:hanging="360"/>
      </w:pPr>
      <w:rPr>
        <w:rFonts w:hint="default"/>
        <w:lang w:val="en-US" w:eastAsia="en-US" w:bidi="ar-SA"/>
      </w:rPr>
    </w:lvl>
    <w:lvl w:ilvl="8" w:tplc="8DC433C2">
      <w:numFmt w:val="bullet"/>
      <w:lvlText w:val="•"/>
      <w:lvlJc w:val="left"/>
      <w:pPr>
        <w:ind w:left="6324" w:hanging="360"/>
      </w:pPr>
      <w:rPr>
        <w:rFonts w:hint="default"/>
        <w:lang w:val="en-US" w:eastAsia="en-US" w:bidi="ar-SA"/>
      </w:rPr>
    </w:lvl>
  </w:abstractNum>
  <w:abstractNum w:abstractNumId="16" w15:restartNumberingAfterBreak="0">
    <w:nsid w:val="64FC5FCF"/>
    <w:multiLevelType w:val="hybridMultilevel"/>
    <w:tmpl w:val="B9BA825C"/>
    <w:lvl w:ilvl="0" w:tplc="9224E65C">
      <w:numFmt w:val="bullet"/>
      <w:lvlText w:val="•"/>
      <w:lvlJc w:val="left"/>
      <w:pPr>
        <w:ind w:left="480" w:hanging="360"/>
      </w:pPr>
      <w:rPr>
        <w:rFonts w:ascii="Sora" w:eastAsia="Sora" w:hAnsi="Sora" w:cs="Sora" w:hint="default"/>
        <w:b w:val="0"/>
        <w:bCs w:val="0"/>
        <w:i w:val="0"/>
        <w:iCs w:val="0"/>
        <w:color w:val="231F20"/>
        <w:spacing w:val="0"/>
        <w:w w:val="100"/>
        <w:sz w:val="22"/>
        <w:szCs w:val="22"/>
        <w:lang w:val="en-US" w:eastAsia="en-US" w:bidi="ar-SA"/>
      </w:rPr>
    </w:lvl>
    <w:lvl w:ilvl="1" w:tplc="FB5A3172">
      <w:numFmt w:val="bullet"/>
      <w:lvlText w:val="•"/>
      <w:lvlJc w:val="left"/>
      <w:pPr>
        <w:ind w:left="1202" w:hanging="360"/>
      </w:pPr>
      <w:rPr>
        <w:rFonts w:hint="default"/>
        <w:lang w:val="en-US" w:eastAsia="en-US" w:bidi="ar-SA"/>
      </w:rPr>
    </w:lvl>
    <w:lvl w:ilvl="2" w:tplc="544A3096">
      <w:numFmt w:val="bullet"/>
      <w:lvlText w:val="•"/>
      <w:lvlJc w:val="left"/>
      <w:pPr>
        <w:ind w:left="1925" w:hanging="360"/>
      </w:pPr>
      <w:rPr>
        <w:rFonts w:hint="default"/>
        <w:lang w:val="en-US" w:eastAsia="en-US" w:bidi="ar-SA"/>
      </w:rPr>
    </w:lvl>
    <w:lvl w:ilvl="3" w:tplc="637E46BE">
      <w:numFmt w:val="bullet"/>
      <w:lvlText w:val="•"/>
      <w:lvlJc w:val="left"/>
      <w:pPr>
        <w:ind w:left="2647" w:hanging="360"/>
      </w:pPr>
      <w:rPr>
        <w:rFonts w:hint="default"/>
        <w:lang w:val="en-US" w:eastAsia="en-US" w:bidi="ar-SA"/>
      </w:rPr>
    </w:lvl>
    <w:lvl w:ilvl="4" w:tplc="3C70FFCA">
      <w:numFmt w:val="bullet"/>
      <w:lvlText w:val="•"/>
      <w:lvlJc w:val="left"/>
      <w:pPr>
        <w:ind w:left="3370" w:hanging="360"/>
      </w:pPr>
      <w:rPr>
        <w:rFonts w:hint="default"/>
        <w:lang w:val="en-US" w:eastAsia="en-US" w:bidi="ar-SA"/>
      </w:rPr>
    </w:lvl>
    <w:lvl w:ilvl="5" w:tplc="7546651C">
      <w:numFmt w:val="bullet"/>
      <w:lvlText w:val="•"/>
      <w:lvlJc w:val="left"/>
      <w:pPr>
        <w:ind w:left="4092" w:hanging="360"/>
      </w:pPr>
      <w:rPr>
        <w:rFonts w:hint="default"/>
        <w:lang w:val="en-US" w:eastAsia="en-US" w:bidi="ar-SA"/>
      </w:rPr>
    </w:lvl>
    <w:lvl w:ilvl="6" w:tplc="4E14D32C">
      <w:numFmt w:val="bullet"/>
      <w:lvlText w:val="•"/>
      <w:lvlJc w:val="left"/>
      <w:pPr>
        <w:ind w:left="4815" w:hanging="360"/>
      </w:pPr>
      <w:rPr>
        <w:rFonts w:hint="default"/>
        <w:lang w:val="en-US" w:eastAsia="en-US" w:bidi="ar-SA"/>
      </w:rPr>
    </w:lvl>
    <w:lvl w:ilvl="7" w:tplc="DE32B098">
      <w:numFmt w:val="bullet"/>
      <w:lvlText w:val="•"/>
      <w:lvlJc w:val="left"/>
      <w:pPr>
        <w:ind w:left="5537" w:hanging="360"/>
      </w:pPr>
      <w:rPr>
        <w:rFonts w:hint="default"/>
        <w:lang w:val="en-US" w:eastAsia="en-US" w:bidi="ar-SA"/>
      </w:rPr>
    </w:lvl>
    <w:lvl w:ilvl="8" w:tplc="4D96CC10">
      <w:numFmt w:val="bullet"/>
      <w:lvlText w:val="•"/>
      <w:lvlJc w:val="left"/>
      <w:pPr>
        <w:ind w:left="6260" w:hanging="360"/>
      </w:pPr>
      <w:rPr>
        <w:rFonts w:hint="default"/>
        <w:lang w:val="en-US" w:eastAsia="en-US" w:bidi="ar-SA"/>
      </w:rPr>
    </w:lvl>
  </w:abstractNum>
  <w:abstractNum w:abstractNumId="17" w15:restartNumberingAfterBreak="0">
    <w:nsid w:val="6E131AF8"/>
    <w:multiLevelType w:val="hybridMultilevel"/>
    <w:tmpl w:val="8812B9A0"/>
    <w:lvl w:ilvl="0" w:tplc="E8E8BD2A">
      <w:numFmt w:val="bullet"/>
      <w:lvlText w:val="•"/>
      <w:lvlJc w:val="left"/>
      <w:pPr>
        <w:ind w:left="480" w:hanging="360"/>
      </w:pPr>
      <w:rPr>
        <w:rFonts w:ascii="Sora" w:eastAsia="Sora" w:hAnsi="Sora" w:cs="Sora" w:hint="default"/>
        <w:b w:val="0"/>
        <w:bCs w:val="0"/>
        <w:i w:val="0"/>
        <w:iCs w:val="0"/>
        <w:color w:val="231F20"/>
        <w:spacing w:val="0"/>
        <w:w w:val="100"/>
        <w:sz w:val="22"/>
        <w:szCs w:val="22"/>
        <w:lang w:val="en-US" w:eastAsia="en-US" w:bidi="ar-SA"/>
      </w:rPr>
    </w:lvl>
    <w:lvl w:ilvl="1" w:tplc="86644DC2">
      <w:numFmt w:val="bullet"/>
      <w:lvlText w:val="•"/>
      <w:lvlJc w:val="left"/>
      <w:pPr>
        <w:ind w:left="1562" w:hanging="360"/>
      </w:pPr>
      <w:rPr>
        <w:rFonts w:hint="default"/>
        <w:lang w:val="en-US" w:eastAsia="en-US" w:bidi="ar-SA"/>
      </w:rPr>
    </w:lvl>
    <w:lvl w:ilvl="2" w:tplc="75A25CF4">
      <w:numFmt w:val="bullet"/>
      <w:lvlText w:val="•"/>
      <w:lvlJc w:val="left"/>
      <w:pPr>
        <w:ind w:left="2645" w:hanging="360"/>
      </w:pPr>
      <w:rPr>
        <w:rFonts w:hint="default"/>
        <w:lang w:val="en-US" w:eastAsia="en-US" w:bidi="ar-SA"/>
      </w:rPr>
    </w:lvl>
    <w:lvl w:ilvl="3" w:tplc="6610CEC2">
      <w:numFmt w:val="bullet"/>
      <w:lvlText w:val="•"/>
      <w:lvlJc w:val="left"/>
      <w:pPr>
        <w:ind w:left="3727" w:hanging="360"/>
      </w:pPr>
      <w:rPr>
        <w:rFonts w:hint="default"/>
        <w:lang w:val="en-US" w:eastAsia="en-US" w:bidi="ar-SA"/>
      </w:rPr>
    </w:lvl>
    <w:lvl w:ilvl="4" w:tplc="690C759C">
      <w:numFmt w:val="bullet"/>
      <w:lvlText w:val="•"/>
      <w:lvlJc w:val="left"/>
      <w:pPr>
        <w:ind w:left="4810" w:hanging="360"/>
      </w:pPr>
      <w:rPr>
        <w:rFonts w:hint="default"/>
        <w:lang w:val="en-US" w:eastAsia="en-US" w:bidi="ar-SA"/>
      </w:rPr>
    </w:lvl>
    <w:lvl w:ilvl="5" w:tplc="4AFAD82A">
      <w:numFmt w:val="bullet"/>
      <w:lvlText w:val="•"/>
      <w:lvlJc w:val="left"/>
      <w:pPr>
        <w:ind w:left="5892" w:hanging="360"/>
      </w:pPr>
      <w:rPr>
        <w:rFonts w:hint="default"/>
        <w:lang w:val="en-US" w:eastAsia="en-US" w:bidi="ar-SA"/>
      </w:rPr>
    </w:lvl>
    <w:lvl w:ilvl="6" w:tplc="6FA472AC">
      <w:numFmt w:val="bullet"/>
      <w:lvlText w:val="•"/>
      <w:lvlJc w:val="left"/>
      <w:pPr>
        <w:ind w:left="6975" w:hanging="360"/>
      </w:pPr>
      <w:rPr>
        <w:rFonts w:hint="default"/>
        <w:lang w:val="en-US" w:eastAsia="en-US" w:bidi="ar-SA"/>
      </w:rPr>
    </w:lvl>
    <w:lvl w:ilvl="7" w:tplc="9558FC7A">
      <w:numFmt w:val="bullet"/>
      <w:lvlText w:val="•"/>
      <w:lvlJc w:val="left"/>
      <w:pPr>
        <w:ind w:left="8057" w:hanging="360"/>
      </w:pPr>
      <w:rPr>
        <w:rFonts w:hint="default"/>
        <w:lang w:val="en-US" w:eastAsia="en-US" w:bidi="ar-SA"/>
      </w:rPr>
    </w:lvl>
    <w:lvl w:ilvl="8" w:tplc="7E9E1BE8">
      <w:numFmt w:val="bullet"/>
      <w:lvlText w:val="•"/>
      <w:lvlJc w:val="left"/>
      <w:pPr>
        <w:ind w:left="9140" w:hanging="360"/>
      </w:pPr>
      <w:rPr>
        <w:rFonts w:hint="default"/>
        <w:lang w:val="en-US" w:eastAsia="en-US" w:bidi="ar-SA"/>
      </w:rPr>
    </w:lvl>
  </w:abstractNum>
  <w:abstractNum w:abstractNumId="18" w15:restartNumberingAfterBreak="0">
    <w:nsid w:val="78E24BF9"/>
    <w:multiLevelType w:val="hybridMultilevel"/>
    <w:tmpl w:val="91BECC16"/>
    <w:lvl w:ilvl="0" w:tplc="1F2C51EE">
      <w:start w:val="1"/>
      <w:numFmt w:val="decimal"/>
      <w:lvlText w:val="%1."/>
      <w:lvlJc w:val="left"/>
      <w:pPr>
        <w:ind w:left="480" w:hanging="360"/>
      </w:pPr>
      <w:rPr>
        <w:rFonts w:ascii="Sora" w:eastAsia="Sora" w:hAnsi="Sora" w:cs="Sora" w:hint="default"/>
        <w:b w:val="0"/>
        <w:bCs w:val="0"/>
        <w:i w:val="0"/>
        <w:iCs w:val="0"/>
        <w:color w:val="231F20"/>
        <w:spacing w:val="0"/>
        <w:w w:val="100"/>
        <w:sz w:val="22"/>
        <w:szCs w:val="22"/>
        <w:lang w:val="en-US" w:eastAsia="en-US" w:bidi="ar-SA"/>
      </w:rPr>
    </w:lvl>
    <w:lvl w:ilvl="1" w:tplc="87D43936">
      <w:numFmt w:val="bullet"/>
      <w:lvlText w:val="•"/>
      <w:lvlJc w:val="left"/>
      <w:pPr>
        <w:ind w:left="1202" w:hanging="360"/>
      </w:pPr>
      <w:rPr>
        <w:rFonts w:hint="default"/>
        <w:lang w:val="en-US" w:eastAsia="en-US" w:bidi="ar-SA"/>
      </w:rPr>
    </w:lvl>
    <w:lvl w:ilvl="2" w:tplc="1528273C">
      <w:numFmt w:val="bullet"/>
      <w:lvlText w:val="•"/>
      <w:lvlJc w:val="left"/>
      <w:pPr>
        <w:ind w:left="1925" w:hanging="360"/>
      </w:pPr>
      <w:rPr>
        <w:rFonts w:hint="default"/>
        <w:lang w:val="en-US" w:eastAsia="en-US" w:bidi="ar-SA"/>
      </w:rPr>
    </w:lvl>
    <w:lvl w:ilvl="3" w:tplc="7FBE4380">
      <w:numFmt w:val="bullet"/>
      <w:lvlText w:val="•"/>
      <w:lvlJc w:val="left"/>
      <w:pPr>
        <w:ind w:left="2647" w:hanging="360"/>
      </w:pPr>
      <w:rPr>
        <w:rFonts w:hint="default"/>
        <w:lang w:val="en-US" w:eastAsia="en-US" w:bidi="ar-SA"/>
      </w:rPr>
    </w:lvl>
    <w:lvl w:ilvl="4" w:tplc="F37432A8">
      <w:numFmt w:val="bullet"/>
      <w:lvlText w:val="•"/>
      <w:lvlJc w:val="left"/>
      <w:pPr>
        <w:ind w:left="3370" w:hanging="360"/>
      </w:pPr>
      <w:rPr>
        <w:rFonts w:hint="default"/>
        <w:lang w:val="en-US" w:eastAsia="en-US" w:bidi="ar-SA"/>
      </w:rPr>
    </w:lvl>
    <w:lvl w:ilvl="5" w:tplc="E132DC42">
      <w:numFmt w:val="bullet"/>
      <w:lvlText w:val="•"/>
      <w:lvlJc w:val="left"/>
      <w:pPr>
        <w:ind w:left="4092" w:hanging="360"/>
      </w:pPr>
      <w:rPr>
        <w:rFonts w:hint="default"/>
        <w:lang w:val="en-US" w:eastAsia="en-US" w:bidi="ar-SA"/>
      </w:rPr>
    </w:lvl>
    <w:lvl w:ilvl="6" w:tplc="8C0C28BE">
      <w:numFmt w:val="bullet"/>
      <w:lvlText w:val="•"/>
      <w:lvlJc w:val="left"/>
      <w:pPr>
        <w:ind w:left="4815" w:hanging="360"/>
      </w:pPr>
      <w:rPr>
        <w:rFonts w:hint="default"/>
        <w:lang w:val="en-US" w:eastAsia="en-US" w:bidi="ar-SA"/>
      </w:rPr>
    </w:lvl>
    <w:lvl w:ilvl="7" w:tplc="6330C6BA">
      <w:numFmt w:val="bullet"/>
      <w:lvlText w:val="•"/>
      <w:lvlJc w:val="left"/>
      <w:pPr>
        <w:ind w:left="5537" w:hanging="360"/>
      </w:pPr>
      <w:rPr>
        <w:rFonts w:hint="default"/>
        <w:lang w:val="en-US" w:eastAsia="en-US" w:bidi="ar-SA"/>
      </w:rPr>
    </w:lvl>
    <w:lvl w:ilvl="8" w:tplc="3F8C453E">
      <w:numFmt w:val="bullet"/>
      <w:lvlText w:val="•"/>
      <w:lvlJc w:val="left"/>
      <w:pPr>
        <w:ind w:left="6260" w:hanging="360"/>
      </w:pPr>
      <w:rPr>
        <w:rFonts w:hint="default"/>
        <w:lang w:val="en-US" w:eastAsia="en-US" w:bidi="ar-SA"/>
      </w:rPr>
    </w:lvl>
  </w:abstractNum>
  <w:num w:numId="1" w16cid:durableId="1465391872">
    <w:abstractNumId w:val="10"/>
  </w:num>
  <w:num w:numId="2" w16cid:durableId="111749402">
    <w:abstractNumId w:val="17"/>
  </w:num>
  <w:num w:numId="3" w16cid:durableId="559944213">
    <w:abstractNumId w:val="16"/>
  </w:num>
  <w:num w:numId="4" w16cid:durableId="69693913">
    <w:abstractNumId w:val="7"/>
  </w:num>
  <w:num w:numId="5" w16cid:durableId="164053374">
    <w:abstractNumId w:val="2"/>
  </w:num>
  <w:num w:numId="6" w16cid:durableId="895120277">
    <w:abstractNumId w:val="0"/>
  </w:num>
  <w:num w:numId="7" w16cid:durableId="573246468">
    <w:abstractNumId w:val="15"/>
  </w:num>
  <w:num w:numId="8" w16cid:durableId="720131785">
    <w:abstractNumId w:val="3"/>
  </w:num>
  <w:num w:numId="9" w16cid:durableId="497774657">
    <w:abstractNumId w:val="11"/>
  </w:num>
  <w:num w:numId="10" w16cid:durableId="1268196489">
    <w:abstractNumId w:val="13"/>
  </w:num>
  <w:num w:numId="11" w16cid:durableId="1297948332">
    <w:abstractNumId w:val="12"/>
  </w:num>
  <w:num w:numId="12" w16cid:durableId="2000308492">
    <w:abstractNumId w:val="5"/>
  </w:num>
  <w:num w:numId="13" w16cid:durableId="582879764">
    <w:abstractNumId w:val="18"/>
  </w:num>
  <w:num w:numId="14" w16cid:durableId="1537235162">
    <w:abstractNumId w:val="9"/>
  </w:num>
  <w:num w:numId="15" w16cid:durableId="2083135604">
    <w:abstractNumId w:val="8"/>
  </w:num>
  <w:num w:numId="16" w16cid:durableId="1471051431">
    <w:abstractNumId w:val="14"/>
  </w:num>
  <w:num w:numId="17" w16cid:durableId="1709064533">
    <w:abstractNumId w:val="1"/>
  </w:num>
  <w:num w:numId="18" w16cid:durableId="1088888076">
    <w:abstractNumId w:val="6"/>
  </w:num>
  <w:num w:numId="19" w16cid:durableId="1728605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74D"/>
    <w:rsid w:val="000076D4"/>
    <w:rsid w:val="000159E1"/>
    <w:rsid w:val="00016162"/>
    <w:rsid w:val="00023F51"/>
    <w:rsid w:val="00060B8D"/>
    <w:rsid w:val="0006325A"/>
    <w:rsid w:val="00075B38"/>
    <w:rsid w:val="000B61F8"/>
    <w:rsid w:val="000C0BFF"/>
    <w:rsid w:val="000E3B53"/>
    <w:rsid w:val="000F2A92"/>
    <w:rsid w:val="00150E1E"/>
    <w:rsid w:val="00153477"/>
    <w:rsid w:val="00157DF4"/>
    <w:rsid w:val="00194516"/>
    <w:rsid w:val="00195D46"/>
    <w:rsid w:val="001A6B06"/>
    <w:rsid w:val="001A912D"/>
    <w:rsid w:val="001C760C"/>
    <w:rsid w:val="001E73E3"/>
    <w:rsid w:val="00207754"/>
    <w:rsid w:val="00211828"/>
    <w:rsid w:val="00211933"/>
    <w:rsid w:val="00261CBD"/>
    <w:rsid w:val="002938DB"/>
    <w:rsid w:val="002B4054"/>
    <w:rsid w:val="002F4128"/>
    <w:rsid w:val="00313E61"/>
    <w:rsid w:val="00315741"/>
    <w:rsid w:val="0035521D"/>
    <w:rsid w:val="0036374D"/>
    <w:rsid w:val="00366A4B"/>
    <w:rsid w:val="003801F7"/>
    <w:rsid w:val="003857F9"/>
    <w:rsid w:val="003D518C"/>
    <w:rsid w:val="003D61EA"/>
    <w:rsid w:val="00402981"/>
    <w:rsid w:val="00417665"/>
    <w:rsid w:val="004350A4"/>
    <w:rsid w:val="0044255E"/>
    <w:rsid w:val="00454701"/>
    <w:rsid w:val="0046023D"/>
    <w:rsid w:val="00470C70"/>
    <w:rsid w:val="00471EE6"/>
    <w:rsid w:val="00484729"/>
    <w:rsid w:val="00491B0B"/>
    <w:rsid w:val="004928DD"/>
    <w:rsid w:val="004940C6"/>
    <w:rsid w:val="004A0AB2"/>
    <w:rsid w:val="004A22A2"/>
    <w:rsid w:val="004A26FD"/>
    <w:rsid w:val="004B4900"/>
    <w:rsid w:val="004C2116"/>
    <w:rsid w:val="004C5DA8"/>
    <w:rsid w:val="004E4E79"/>
    <w:rsid w:val="004E51B5"/>
    <w:rsid w:val="00505779"/>
    <w:rsid w:val="005145D7"/>
    <w:rsid w:val="00532E57"/>
    <w:rsid w:val="005947AE"/>
    <w:rsid w:val="005B5CB1"/>
    <w:rsid w:val="005D1CDA"/>
    <w:rsid w:val="005D2336"/>
    <w:rsid w:val="005D49D9"/>
    <w:rsid w:val="00601911"/>
    <w:rsid w:val="00606E09"/>
    <w:rsid w:val="00616CCC"/>
    <w:rsid w:val="00620020"/>
    <w:rsid w:val="0063744E"/>
    <w:rsid w:val="006513E5"/>
    <w:rsid w:val="0066040D"/>
    <w:rsid w:val="00695EE5"/>
    <w:rsid w:val="006B11B6"/>
    <w:rsid w:val="006B4221"/>
    <w:rsid w:val="006B7CAF"/>
    <w:rsid w:val="006C6324"/>
    <w:rsid w:val="006C73C2"/>
    <w:rsid w:val="006D0406"/>
    <w:rsid w:val="006D4ABD"/>
    <w:rsid w:val="006F6635"/>
    <w:rsid w:val="007105AE"/>
    <w:rsid w:val="0071182E"/>
    <w:rsid w:val="00727F84"/>
    <w:rsid w:val="00732AFC"/>
    <w:rsid w:val="00752D96"/>
    <w:rsid w:val="007561FF"/>
    <w:rsid w:val="00761B71"/>
    <w:rsid w:val="00763A56"/>
    <w:rsid w:val="007731A6"/>
    <w:rsid w:val="00776922"/>
    <w:rsid w:val="007B1E83"/>
    <w:rsid w:val="007D7033"/>
    <w:rsid w:val="007E0DCD"/>
    <w:rsid w:val="007E3A28"/>
    <w:rsid w:val="007E7E77"/>
    <w:rsid w:val="008020B9"/>
    <w:rsid w:val="00826D3A"/>
    <w:rsid w:val="00827C94"/>
    <w:rsid w:val="008543AA"/>
    <w:rsid w:val="00861669"/>
    <w:rsid w:val="00862FE2"/>
    <w:rsid w:val="0088484B"/>
    <w:rsid w:val="00894C15"/>
    <w:rsid w:val="008D5516"/>
    <w:rsid w:val="008F39E7"/>
    <w:rsid w:val="00917025"/>
    <w:rsid w:val="00917E52"/>
    <w:rsid w:val="00924194"/>
    <w:rsid w:val="009459F8"/>
    <w:rsid w:val="00947003"/>
    <w:rsid w:val="0095228A"/>
    <w:rsid w:val="00954268"/>
    <w:rsid w:val="00974409"/>
    <w:rsid w:val="0097454A"/>
    <w:rsid w:val="00975F64"/>
    <w:rsid w:val="009772CF"/>
    <w:rsid w:val="009853E9"/>
    <w:rsid w:val="00986D67"/>
    <w:rsid w:val="00995BDF"/>
    <w:rsid w:val="009B6AA4"/>
    <w:rsid w:val="009C1536"/>
    <w:rsid w:val="009D60B2"/>
    <w:rsid w:val="009D6FD4"/>
    <w:rsid w:val="009E2149"/>
    <w:rsid w:val="009F3005"/>
    <w:rsid w:val="00A011F6"/>
    <w:rsid w:val="00A10594"/>
    <w:rsid w:val="00A14FED"/>
    <w:rsid w:val="00A734BD"/>
    <w:rsid w:val="00A73FDE"/>
    <w:rsid w:val="00A879EA"/>
    <w:rsid w:val="00A93E8D"/>
    <w:rsid w:val="00AB0758"/>
    <w:rsid w:val="00AB14C9"/>
    <w:rsid w:val="00AD0012"/>
    <w:rsid w:val="00AD1BB4"/>
    <w:rsid w:val="00AE1080"/>
    <w:rsid w:val="00AE16BE"/>
    <w:rsid w:val="00AF2814"/>
    <w:rsid w:val="00B310B5"/>
    <w:rsid w:val="00B833D7"/>
    <w:rsid w:val="00BA5124"/>
    <w:rsid w:val="00BE5194"/>
    <w:rsid w:val="00BF061D"/>
    <w:rsid w:val="00BF3B72"/>
    <w:rsid w:val="00C03E1E"/>
    <w:rsid w:val="00C04F4F"/>
    <w:rsid w:val="00C528F9"/>
    <w:rsid w:val="00C66D3E"/>
    <w:rsid w:val="00CA0195"/>
    <w:rsid w:val="00CA12AA"/>
    <w:rsid w:val="00CB65F6"/>
    <w:rsid w:val="00D10721"/>
    <w:rsid w:val="00D24C3D"/>
    <w:rsid w:val="00D602FE"/>
    <w:rsid w:val="00D60847"/>
    <w:rsid w:val="00D62B41"/>
    <w:rsid w:val="00D8553C"/>
    <w:rsid w:val="00DB7E71"/>
    <w:rsid w:val="00DF2232"/>
    <w:rsid w:val="00DF5430"/>
    <w:rsid w:val="00E00081"/>
    <w:rsid w:val="00E05D6D"/>
    <w:rsid w:val="00E36993"/>
    <w:rsid w:val="00E36C0F"/>
    <w:rsid w:val="00E568E8"/>
    <w:rsid w:val="00E615E3"/>
    <w:rsid w:val="00E644E5"/>
    <w:rsid w:val="00E73321"/>
    <w:rsid w:val="00E9665A"/>
    <w:rsid w:val="00EC36D9"/>
    <w:rsid w:val="00ED0446"/>
    <w:rsid w:val="00EE229F"/>
    <w:rsid w:val="00EF507B"/>
    <w:rsid w:val="00EF53B4"/>
    <w:rsid w:val="00F05290"/>
    <w:rsid w:val="00F2074B"/>
    <w:rsid w:val="00F21577"/>
    <w:rsid w:val="00F33E1B"/>
    <w:rsid w:val="00F51CB3"/>
    <w:rsid w:val="00F5320D"/>
    <w:rsid w:val="00F634E1"/>
    <w:rsid w:val="00F63C0B"/>
    <w:rsid w:val="00F743E2"/>
    <w:rsid w:val="00FB47F1"/>
    <w:rsid w:val="00FC2A13"/>
    <w:rsid w:val="00FD4DB3"/>
    <w:rsid w:val="00FF1D48"/>
    <w:rsid w:val="040563F5"/>
    <w:rsid w:val="05260AFE"/>
    <w:rsid w:val="0751CEB3"/>
    <w:rsid w:val="0C7CE2E6"/>
    <w:rsid w:val="0CAB0A41"/>
    <w:rsid w:val="1209DD7C"/>
    <w:rsid w:val="12A40B0B"/>
    <w:rsid w:val="135D8830"/>
    <w:rsid w:val="1733FB43"/>
    <w:rsid w:val="194B1957"/>
    <w:rsid w:val="1B2034E9"/>
    <w:rsid w:val="261BC371"/>
    <w:rsid w:val="288F6124"/>
    <w:rsid w:val="2A829168"/>
    <w:rsid w:val="2FE09911"/>
    <w:rsid w:val="36B560F7"/>
    <w:rsid w:val="3A4C1EDC"/>
    <w:rsid w:val="3BAAC8C4"/>
    <w:rsid w:val="3EBB12A3"/>
    <w:rsid w:val="4694E176"/>
    <w:rsid w:val="4DAB8765"/>
    <w:rsid w:val="532D3AE7"/>
    <w:rsid w:val="5750C776"/>
    <w:rsid w:val="6E021C94"/>
    <w:rsid w:val="6F01CB61"/>
    <w:rsid w:val="6FB61CBA"/>
    <w:rsid w:val="7199DEF5"/>
    <w:rsid w:val="71F8E9FA"/>
    <w:rsid w:val="7CB533FF"/>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F6462"/>
  <w15:docId w15:val="{98A79353-F5D8-8B40-AD46-02055CA83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C0B"/>
    <w:pPr>
      <w:spacing w:after="240"/>
      <w:ind w:left="142"/>
      <w:jc w:val="both"/>
    </w:pPr>
    <w:rPr>
      <w:rFonts w:ascii="Arial" w:eastAsia="Sora" w:hAnsi="Arial" w:cs="Arial"/>
      <w:sz w:val="24"/>
      <w:szCs w:val="24"/>
    </w:rPr>
  </w:style>
  <w:style w:type="paragraph" w:styleId="Heading1">
    <w:name w:val="heading 1"/>
    <w:basedOn w:val="Normal"/>
    <w:link w:val="Heading1Char"/>
    <w:uiPriority w:val="9"/>
    <w:qFormat/>
    <w:rsid w:val="00BE5194"/>
    <w:pPr>
      <w:spacing w:before="702"/>
      <w:outlineLvl w:val="0"/>
    </w:pPr>
    <w:rPr>
      <w:rFonts w:asciiTheme="minorHAnsi" w:eastAsiaTheme="minorEastAsia" w:hAnsiTheme="minorHAnsi" w:cstheme="minorBidi"/>
      <w:b/>
      <w:bCs/>
      <w:color w:val="000000" w:themeColor="text1"/>
      <w:sz w:val="32"/>
      <w:szCs w:val="32"/>
    </w:rPr>
  </w:style>
  <w:style w:type="paragraph" w:styleId="Heading2">
    <w:name w:val="heading 2"/>
    <w:basedOn w:val="Normal"/>
    <w:link w:val="Heading2Char"/>
    <w:uiPriority w:val="9"/>
    <w:unhideWhenUsed/>
    <w:qFormat/>
    <w:rsid w:val="05260AFE"/>
    <w:pPr>
      <w:ind w:left="120"/>
      <w:outlineLvl w:val="1"/>
    </w:pPr>
    <w:rPr>
      <w:rFonts w:asciiTheme="minorHAnsi" w:eastAsiaTheme="minorEastAsia" w:hAnsiTheme="minorHAnsi" w:cstheme="minorBidi"/>
      <w:b/>
      <w:bCs/>
      <w:sz w:val="28"/>
      <w:szCs w:val="28"/>
    </w:rPr>
  </w:style>
  <w:style w:type="paragraph" w:styleId="Heading3">
    <w:name w:val="heading 3"/>
    <w:basedOn w:val="Normal"/>
    <w:link w:val="Heading3Char"/>
    <w:uiPriority w:val="9"/>
    <w:unhideWhenUsed/>
    <w:qFormat/>
    <w:rsid w:val="00BE5194"/>
    <w:pPr>
      <w:ind w:left="120"/>
      <w:outlineLvl w:val="2"/>
    </w:pPr>
    <w:rPr>
      <w:b/>
      <w:bCs/>
      <w:color w:val="000000" w:themeColor="text1"/>
    </w:rPr>
  </w:style>
  <w:style w:type="paragraph" w:styleId="Heading4">
    <w:name w:val="heading 4"/>
    <w:basedOn w:val="Normal"/>
    <w:link w:val="Heading4Char"/>
    <w:uiPriority w:val="9"/>
    <w:unhideWhenUsed/>
    <w:qFormat/>
    <w:rsid w:val="3A4C1EDC"/>
    <w:pPr>
      <w:ind w:left="120"/>
      <w:outlineLvl w:val="3"/>
    </w:pPr>
    <w:rPr>
      <w:b/>
      <w:bCs/>
      <w:sz w:val="28"/>
      <w:szCs w:val="28"/>
    </w:rPr>
  </w:style>
  <w:style w:type="paragraph" w:styleId="Heading5">
    <w:name w:val="heading 5"/>
    <w:basedOn w:val="Normal"/>
    <w:link w:val="Heading5Char"/>
    <w:uiPriority w:val="9"/>
    <w:unhideWhenUsed/>
    <w:rsid w:val="3A4C1EDC"/>
    <w:pPr>
      <w:outlineLvl w:val="4"/>
    </w:pPr>
    <w:rPr>
      <w:b/>
      <w:bCs/>
    </w:rPr>
  </w:style>
  <w:style w:type="paragraph" w:styleId="Heading6">
    <w:name w:val="heading 6"/>
    <w:basedOn w:val="Normal"/>
    <w:link w:val="Heading6Char"/>
    <w:uiPriority w:val="9"/>
    <w:unhideWhenUsed/>
    <w:qFormat/>
    <w:rsid w:val="3A4C1EDC"/>
    <w:pPr>
      <w:ind w:left="120"/>
      <w:outlineLvl w:val="5"/>
    </w:pPr>
    <w:rPr>
      <w:b/>
      <w:bCs/>
    </w:rPr>
  </w:style>
  <w:style w:type="paragraph" w:styleId="Heading7">
    <w:name w:val="heading 7"/>
    <w:basedOn w:val="Normal"/>
    <w:next w:val="Normal"/>
    <w:link w:val="Heading7Char"/>
    <w:uiPriority w:val="9"/>
    <w:unhideWhenUsed/>
    <w:rsid w:val="3A4C1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rsid w:val="3A4C1EDC"/>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rsid w:val="3A4C1EDC"/>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3744E"/>
    <w:pPr>
      <w:ind w:right="229"/>
    </w:pPr>
  </w:style>
  <w:style w:type="paragraph" w:styleId="ListParagraph">
    <w:name w:val="List Paragraph"/>
    <w:basedOn w:val="Normal"/>
    <w:uiPriority w:val="1"/>
    <w:qFormat/>
    <w:rsid w:val="00BF3B72"/>
    <w:pPr>
      <w:numPr>
        <w:numId w:val="18"/>
      </w:numPr>
      <w:spacing w:before="143"/>
      <w:jc w:val="left"/>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3A4C1EDC"/>
  </w:style>
  <w:style w:type="character" w:customStyle="1" w:styleId="HeaderChar">
    <w:name w:val="Header Char"/>
    <w:basedOn w:val="DefaultParagraphFont"/>
    <w:link w:val="Header"/>
    <w:uiPriority w:val="99"/>
    <w:rsid w:val="00975F64"/>
    <w:rPr>
      <w:rFonts w:ascii="Sora" w:eastAsia="Sora" w:hAnsi="Sora" w:cs="Sora"/>
    </w:rPr>
  </w:style>
  <w:style w:type="paragraph" w:styleId="Footer">
    <w:name w:val="footer"/>
    <w:basedOn w:val="Normal"/>
    <w:link w:val="FooterChar"/>
    <w:uiPriority w:val="99"/>
    <w:unhideWhenUsed/>
    <w:rsid w:val="3A4C1EDC"/>
  </w:style>
  <w:style w:type="character" w:customStyle="1" w:styleId="FooterChar">
    <w:name w:val="Footer Char"/>
    <w:basedOn w:val="DefaultParagraphFont"/>
    <w:link w:val="Footer"/>
    <w:uiPriority w:val="99"/>
    <w:rsid w:val="00975F64"/>
    <w:rPr>
      <w:rFonts w:ascii="Sora" w:eastAsia="Sora" w:hAnsi="Sora" w:cs="Sora"/>
    </w:rPr>
  </w:style>
  <w:style w:type="character" w:styleId="Hyperlink">
    <w:name w:val="Hyperlink"/>
    <w:basedOn w:val="DefaultParagraphFont"/>
    <w:uiPriority w:val="99"/>
    <w:unhideWhenUsed/>
    <w:rsid w:val="00826D3A"/>
    <w:rPr>
      <w:rFonts w:ascii="Arial" w:hAnsi="Arial" w:cs="Times New Roman" w:hint="default"/>
      <w:color w:val="0000FF"/>
      <w:sz w:val="24"/>
      <w:u w:val="single"/>
    </w:rPr>
  </w:style>
  <w:style w:type="paragraph" w:styleId="TOC2">
    <w:name w:val="toc 2"/>
    <w:basedOn w:val="Normal"/>
    <w:next w:val="Normal"/>
    <w:autoRedefine/>
    <w:uiPriority w:val="39"/>
    <w:unhideWhenUsed/>
    <w:rsid w:val="00826D3A"/>
    <w:pPr>
      <w:widowControl/>
      <w:autoSpaceDE/>
      <w:autoSpaceDN/>
      <w:spacing w:before="120" w:line="276" w:lineRule="auto"/>
      <w:ind w:left="260" w:right="452"/>
    </w:pPr>
    <w:rPr>
      <w:rFonts w:asciiTheme="minorHAnsi" w:eastAsiaTheme="minorEastAsia" w:hAnsiTheme="minorHAnsi" w:cstheme="minorHAnsi"/>
      <w:b/>
      <w:bCs/>
      <w:color w:val="000000"/>
      <w:lang w:eastAsia="ko-KR"/>
    </w:rPr>
  </w:style>
  <w:style w:type="character" w:customStyle="1" w:styleId="Heading1Char">
    <w:name w:val="Heading 1 Char"/>
    <w:basedOn w:val="DefaultParagraphFont"/>
    <w:link w:val="Heading1"/>
    <w:uiPriority w:val="9"/>
    <w:rsid w:val="00BE5194"/>
    <w:rPr>
      <w:rFonts w:eastAsiaTheme="minorEastAsia"/>
      <w:b/>
      <w:bCs/>
      <w:color w:val="000000" w:themeColor="text1"/>
      <w:sz w:val="32"/>
      <w:szCs w:val="32"/>
    </w:rPr>
  </w:style>
  <w:style w:type="table" w:styleId="TableGrid">
    <w:name w:val="Table Grid"/>
    <w:aliases w:val="AVX Table"/>
    <w:basedOn w:val="TableNormal"/>
    <w:uiPriority w:val="39"/>
    <w:rsid w:val="00826D3A"/>
    <w:pPr>
      <w:widowControl/>
      <w:autoSpaceDE/>
      <w:autoSpaceDN/>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i w:val="0"/>
      </w:rPr>
      <w:tblPr/>
      <w:tcPr>
        <w:shd w:val="clear" w:color="auto" w:fill="EFE9E1"/>
      </w:tcPr>
    </w:tblStylePr>
  </w:style>
  <w:style w:type="paragraph" w:styleId="TOCHeading">
    <w:name w:val="TOC Heading"/>
    <w:basedOn w:val="Heading1"/>
    <w:next w:val="Normal"/>
    <w:uiPriority w:val="39"/>
    <w:unhideWhenUsed/>
    <w:qFormat/>
    <w:rsid w:val="6F01CB61"/>
    <w:pPr>
      <w:keepNext/>
      <w:keepLines/>
      <w:widowControl/>
      <w:spacing w:before="480" w:line="276" w:lineRule="auto"/>
      <w:jc w:val="left"/>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826D3A"/>
    <w:pPr>
      <w:widowControl/>
      <w:autoSpaceDE/>
      <w:autoSpaceDN/>
      <w:spacing w:before="120" w:line="276" w:lineRule="auto"/>
      <w:ind w:right="452"/>
    </w:pPr>
    <w:rPr>
      <w:rFonts w:asciiTheme="minorHAnsi" w:eastAsiaTheme="minorEastAsia" w:hAnsiTheme="minorHAnsi" w:cstheme="minorHAnsi"/>
      <w:b/>
      <w:bCs/>
      <w:i/>
      <w:iCs/>
      <w:color w:val="000000"/>
      <w:lang w:eastAsia="ko-KR"/>
    </w:rPr>
  </w:style>
  <w:style w:type="paragraph" w:styleId="TOC3">
    <w:name w:val="toc 3"/>
    <w:basedOn w:val="Normal"/>
    <w:next w:val="Normal"/>
    <w:autoRedefine/>
    <w:uiPriority w:val="39"/>
    <w:unhideWhenUsed/>
    <w:rsid w:val="00826D3A"/>
    <w:pPr>
      <w:widowControl/>
      <w:autoSpaceDE/>
      <w:autoSpaceDN/>
      <w:spacing w:line="276" w:lineRule="auto"/>
      <w:ind w:left="520" w:right="452"/>
    </w:pPr>
    <w:rPr>
      <w:rFonts w:asciiTheme="minorHAnsi" w:eastAsiaTheme="minorEastAsia" w:hAnsiTheme="minorHAnsi" w:cstheme="minorHAnsi"/>
      <w:color w:val="000000"/>
      <w:sz w:val="20"/>
      <w:szCs w:val="20"/>
      <w:lang w:eastAsia="ko-KR"/>
    </w:rPr>
  </w:style>
  <w:style w:type="character" w:styleId="PageNumber">
    <w:name w:val="page number"/>
    <w:basedOn w:val="DefaultParagraphFont"/>
    <w:uiPriority w:val="99"/>
    <w:semiHidden/>
    <w:unhideWhenUsed/>
    <w:rsid w:val="00D62B41"/>
  </w:style>
  <w:style w:type="paragraph" w:styleId="Title">
    <w:name w:val="Title"/>
    <w:basedOn w:val="Normal"/>
    <w:next w:val="Normal"/>
    <w:uiPriority w:val="10"/>
    <w:qFormat/>
    <w:rsid w:val="009772CF"/>
    <w:pPr>
      <w:spacing w:after="0"/>
      <w:ind w:right="229"/>
    </w:pPr>
    <w:rPr>
      <w:b/>
      <w:bCs/>
      <w:color w:val="000000" w:themeColor="text1"/>
      <w:sz w:val="64"/>
      <w:szCs w:val="64"/>
    </w:rPr>
  </w:style>
  <w:style w:type="paragraph" w:styleId="Subtitle">
    <w:name w:val="Subtitle"/>
    <w:basedOn w:val="Heading1"/>
    <w:next w:val="Normal"/>
    <w:link w:val="SubtitleChar"/>
    <w:uiPriority w:val="11"/>
    <w:qFormat/>
    <w:rsid w:val="0063744E"/>
    <w:pPr>
      <w:spacing w:before="0" w:after="0" w:line="276" w:lineRule="auto"/>
      <w:ind w:right="229"/>
    </w:pPr>
    <w:rPr>
      <w:rFonts w:ascii="Arial" w:hAnsi="Arial" w:cs="Arial"/>
      <w:b w:val="0"/>
      <w:bCs w:val="0"/>
    </w:rPr>
  </w:style>
  <w:style w:type="character" w:styleId="SubtleEmphasis">
    <w:name w:val="Subtle Emphasis"/>
    <w:basedOn w:val="DefaultParagraphFont"/>
    <w:uiPriority w:val="19"/>
    <w:qFormat/>
    <w:rsid w:val="3A4C1EDC"/>
    <w:rPr>
      <w:i/>
      <w:iCs/>
      <w:color w:val="404040" w:themeColor="text1" w:themeTint="BF"/>
    </w:rPr>
  </w:style>
  <w:style w:type="character" w:styleId="IntenseEmphasis">
    <w:name w:val="Intense Emphasis"/>
    <w:basedOn w:val="DefaultParagraphFont"/>
    <w:uiPriority w:val="21"/>
    <w:qFormat/>
    <w:rsid w:val="3A4C1EDC"/>
    <w:rPr>
      <w:i/>
      <w:iCs/>
      <w:color w:val="365F91" w:themeColor="accent1" w:themeShade="BF"/>
    </w:rPr>
  </w:style>
  <w:style w:type="paragraph" w:styleId="Quote">
    <w:name w:val="Quote"/>
    <w:basedOn w:val="Normal"/>
    <w:next w:val="Normal"/>
    <w:link w:val="QuoteChar"/>
    <w:uiPriority w:val="29"/>
    <w:qFormat/>
    <w:rsid w:val="3A4C1EDC"/>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3A4C1EDC"/>
    <w:pPr>
      <w:spacing w:before="360" w:after="360"/>
      <w:ind w:left="864" w:right="864"/>
      <w:jc w:val="center"/>
    </w:pPr>
    <w:rPr>
      <w:i/>
      <w:iCs/>
      <w:color w:val="365F91" w:themeColor="accent1" w:themeShade="BF"/>
    </w:rPr>
  </w:style>
  <w:style w:type="character" w:styleId="SubtleReference">
    <w:name w:val="Subtle Reference"/>
    <w:basedOn w:val="DefaultParagraphFont"/>
    <w:uiPriority w:val="31"/>
    <w:qFormat/>
    <w:rsid w:val="3A4C1EDC"/>
    <w:rPr>
      <w:smallCaps/>
      <w:color w:val="5A5A5A"/>
    </w:rPr>
  </w:style>
  <w:style w:type="character" w:styleId="IntenseReference">
    <w:name w:val="Intense Reference"/>
    <w:basedOn w:val="DefaultParagraphFont"/>
    <w:uiPriority w:val="32"/>
    <w:qFormat/>
    <w:rsid w:val="3A4C1EDC"/>
    <w:rPr>
      <w:b/>
      <w:bCs/>
      <w:smallCaps/>
      <w:color w:val="365F91" w:themeColor="accent1" w:themeShade="BF"/>
    </w:rPr>
  </w:style>
  <w:style w:type="character" w:customStyle="1" w:styleId="Heading2Char">
    <w:name w:val="Heading 2 Char"/>
    <w:basedOn w:val="DefaultParagraphFont"/>
    <w:link w:val="Heading2"/>
    <w:uiPriority w:val="9"/>
    <w:rsid w:val="3A4C1EDC"/>
    <w:rPr>
      <w:rFonts w:eastAsiaTheme="minorEastAsia"/>
      <w:b/>
      <w:bCs/>
      <w:sz w:val="28"/>
      <w:szCs w:val="28"/>
    </w:rPr>
  </w:style>
  <w:style w:type="character" w:customStyle="1" w:styleId="Heading3Char">
    <w:name w:val="Heading 3 Char"/>
    <w:basedOn w:val="DefaultParagraphFont"/>
    <w:link w:val="Heading3"/>
    <w:uiPriority w:val="9"/>
    <w:rsid w:val="00BE5194"/>
    <w:rPr>
      <w:rFonts w:ascii="Arial" w:eastAsia="Sora" w:hAnsi="Arial" w:cs="Arial"/>
      <w:b/>
      <w:bCs/>
      <w:color w:val="000000" w:themeColor="text1"/>
      <w:sz w:val="24"/>
      <w:szCs w:val="24"/>
    </w:rPr>
  </w:style>
  <w:style w:type="character" w:customStyle="1" w:styleId="Heading4Char">
    <w:name w:val="Heading 4 Char"/>
    <w:basedOn w:val="DefaultParagraphFont"/>
    <w:link w:val="Heading4"/>
    <w:uiPriority w:val="9"/>
    <w:rsid w:val="3A4C1ED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3A4C1EDC"/>
    <w:rPr>
      <w:rFonts w:eastAsiaTheme="majorEastAsia" w:cstheme="majorBidi"/>
      <w:color w:val="365F91" w:themeColor="accent1" w:themeShade="BF"/>
    </w:rPr>
  </w:style>
  <w:style w:type="character" w:customStyle="1" w:styleId="Heading6Char">
    <w:name w:val="Heading 6 Char"/>
    <w:basedOn w:val="DefaultParagraphFont"/>
    <w:link w:val="Heading6"/>
    <w:uiPriority w:val="9"/>
    <w:rsid w:val="3A4C1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3A4C1ED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3A4C1EDC"/>
    <w:rPr>
      <w:rFonts w:eastAsiaTheme="majorEastAsia" w:cstheme="majorBidi"/>
      <w:i/>
      <w:iCs/>
      <w:color w:val="272727"/>
    </w:rPr>
  </w:style>
  <w:style w:type="character" w:customStyle="1" w:styleId="Heading9Char">
    <w:name w:val="Heading 9 Char"/>
    <w:basedOn w:val="DefaultParagraphFont"/>
    <w:link w:val="Heading9"/>
    <w:uiPriority w:val="9"/>
    <w:rsid w:val="3A4C1EDC"/>
    <w:rPr>
      <w:rFonts w:eastAsiaTheme="majorEastAsia" w:cstheme="majorBidi"/>
      <w:color w:val="272727"/>
    </w:rPr>
  </w:style>
  <w:style w:type="character" w:customStyle="1" w:styleId="SubtitleChar">
    <w:name w:val="Subtitle Char"/>
    <w:basedOn w:val="DefaultParagraphFont"/>
    <w:link w:val="Subtitle"/>
    <w:uiPriority w:val="11"/>
    <w:rsid w:val="0063744E"/>
    <w:rPr>
      <w:rFonts w:ascii="Arial" w:eastAsiaTheme="minorEastAsia" w:hAnsi="Arial" w:cs="Arial"/>
      <w:color w:val="000000" w:themeColor="text1"/>
      <w:sz w:val="32"/>
      <w:szCs w:val="32"/>
    </w:rPr>
  </w:style>
  <w:style w:type="character" w:customStyle="1" w:styleId="QuoteChar">
    <w:name w:val="Quote Char"/>
    <w:basedOn w:val="DefaultParagraphFont"/>
    <w:link w:val="Quote"/>
    <w:uiPriority w:val="29"/>
    <w:rsid w:val="3A4C1EDC"/>
    <w:rPr>
      <w:i/>
      <w:iCs/>
      <w:color w:val="404040" w:themeColor="text1" w:themeTint="BF"/>
    </w:rPr>
  </w:style>
  <w:style w:type="character" w:customStyle="1" w:styleId="IntenseQuoteChar">
    <w:name w:val="Intense Quote Char"/>
    <w:basedOn w:val="DefaultParagraphFont"/>
    <w:link w:val="IntenseQuote"/>
    <w:uiPriority w:val="30"/>
    <w:rsid w:val="3A4C1EDC"/>
    <w:rPr>
      <w:i/>
      <w:iCs/>
      <w:color w:val="365F91" w:themeColor="accent1" w:themeShade="BF"/>
    </w:rPr>
  </w:style>
  <w:style w:type="character" w:styleId="HTMLCode">
    <w:name w:val="HTML Code"/>
    <w:basedOn w:val="DefaultParagraphFont"/>
    <w:uiPriority w:val="99"/>
    <w:unhideWhenUsed/>
    <w:rsid w:val="3A4C1EDC"/>
    <w:rPr>
      <w:rFonts w:ascii="Consolas" w:hAnsi="Consolas"/>
      <w:sz w:val="20"/>
      <w:szCs w:val="20"/>
    </w:rPr>
  </w:style>
  <w:style w:type="paragraph" w:styleId="HTMLPreformatted">
    <w:name w:val="HTML Preformatted"/>
    <w:basedOn w:val="Normal"/>
    <w:uiPriority w:val="99"/>
    <w:unhideWhenUsed/>
    <w:rsid w:val="3A4C1EDC"/>
    <w:pPr>
      <w:spacing w:after="0"/>
    </w:pPr>
    <w:rPr>
      <w:rFonts w:ascii="Consolas" w:hAnsi="Consolas"/>
      <w:sz w:val="20"/>
      <w:szCs w:val="20"/>
    </w:rPr>
  </w:style>
  <w:style w:type="character" w:styleId="UnresolvedMention">
    <w:name w:val="Unresolved Mention"/>
    <w:basedOn w:val="DefaultParagraphFont"/>
    <w:uiPriority w:val="99"/>
    <w:semiHidden/>
    <w:unhideWhenUsed/>
    <w:rsid w:val="00015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_rels/footer3.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5885cd-6063-44ba-8619-58bc52af1a29">
      <Terms xmlns="http://schemas.microsoft.com/office/infopath/2007/PartnerControls"/>
    </lcf76f155ced4ddcb4097134ff3c332f>
    <TaxCatchAll xmlns="6931cfdf-d465-4161-af60-764544170e8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00A94D046216418F3BCC4FA5662713" ma:contentTypeVersion="10" ma:contentTypeDescription="Create a new document." ma:contentTypeScope="" ma:versionID="ed3b1105a31c3b4d6c7e91fa00fa2fce">
  <xsd:schema xmlns:xsd="http://www.w3.org/2001/XMLSchema" xmlns:xs="http://www.w3.org/2001/XMLSchema" xmlns:p="http://schemas.microsoft.com/office/2006/metadata/properties" xmlns:ns2="d05885cd-6063-44ba-8619-58bc52af1a29" xmlns:ns3="6931cfdf-d465-4161-af60-764544170e87" targetNamespace="http://schemas.microsoft.com/office/2006/metadata/properties" ma:root="true" ma:fieldsID="eeb85b93f873eaf61bf21940eaf956f2" ns2:_="" ns3:_="">
    <xsd:import namespace="d05885cd-6063-44ba-8619-58bc52af1a29"/>
    <xsd:import namespace="6931cfdf-d465-4161-af60-764544170e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885cd-6063-44ba-8619-58bc52af1a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1d61211-6ef1-4548-9c72-b24d3be9fc3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31cfdf-d465-4161-af60-764544170e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1b1196d-ad70-40c1-ad76-34cbdae3c84e}" ma:internalName="TaxCatchAll" ma:showField="CatchAllData" ma:web="6931cfdf-d465-4161-af60-764544170e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8981D9-A00A-4223-9BF9-2EB52FDC8F36}">
  <ds:schemaRefs>
    <ds:schemaRef ds:uri="http://schemas.microsoft.com/sharepoint/v3/contenttype/forms"/>
  </ds:schemaRefs>
</ds:datastoreItem>
</file>

<file path=customXml/itemProps2.xml><?xml version="1.0" encoding="utf-8"?>
<ds:datastoreItem xmlns:ds="http://schemas.openxmlformats.org/officeDocument/2006/customXml" ds:itemID="{1B7E122B-F5D0-4AE5-B318-B60667BD5249}">
  <ds:schemaRefs>
    <ds:schemaRef ds:uri="http://schemas.microsoft.com/office/2006/metadata/properties"/>
    <ds:schemaRef ds:uri="http://schemas.microsoft.com/office/infopath/2007/PartnerControls"/>
    <ds:schemaRef ds:uri="d05885cd-6063-44ba-8619-58bc52af1a29"/>
    <ds:schemaRef ds:uri="6931cfdf-d465-4161-af60-764544170e87"/>
  </ds:schemaRefs>
</ds:datastoreItem>
</file>

<file path=customXml/itemProps3.xml><?xml version="1.0" encoding="utf-8"?>
<ds:datastoreItem xmlns:ds="http://schemas.openxmlformats.org/officeDocument/2006/customXml" ds:itemID="{750BF306-0875-42F3-AF70-EE89AF828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5885cd-6063-44ba-8619-58bc52af1a29"/>
    <ds:schemaRef ds:uri="6931cfdf-d465-4161-af60-764544170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Links>
    <vt:vector size="84" baseType="variant">
      <vt:variant>
        <vt:i4>1310773</vt:i4>
      </vt:variant>
      <vt:variant>
        <vt:i4>80</vt:i4>
      </vt:variant>
      <vt:variant>
        <vt:i4>0</vt:i4>
      </vt:variant>
      <vt:variant>
        <vt:i4>5</vt:i4>
      </vt:variant>
      <vt:variant>
        <vt:lpwstr/>
      </vt:variant>
      <vt:variant>
        <vt:lpwstr>_Toc226371632</vt:lpwstr>
      </vt:variant>
      <vt:variant>
        <vt:i4>1310773</vt:i4>
      </vt:variant>
      <vt:variant>
        <vt:i4>74</vt:i4>
      </vt:variant>
      <vt:variant>
        <vt:i4>0</vt:i4>
      </vt:variant>
      <vt:variant>
        <vt:i4>5</vt:i4>
      </vt:variant>
      <vt:variant>
        <vt:lpwstr/>
      </vt:variant>
      <vt:variant>
        <vt:lpwstr>_Toc226371631</vt:lpwstr>
      </vt:variant>
      <vt:variant>
        <vt:i4>1310773</vt:i4>
      </vt:variant>
      <vt:variant>
        <vt:i4>68</vt:i4>
      </vt:variant>
      <vt:variant>
        <vt:i4>0</vt:i4>
      </vt:variant>
      <vt:variant>
        <vt:i4>5</vt:i4>
      </vt:variant>
      <vt:variant>
        <vt:lpwstr/>
      </vt:variant>
      <vt:variant>
        <vt:lpwstr>_Toc226371630</vt:lpwstr>
      </vt:variant>
      <vt:variant>
        <vt:i4>1376309</vt:i4>
      </vt:variant>
      <vt:variant>
        <vt:i4>62</vt:i4>
      </vt:variant>
      <vt:variant>
        <vt:i4>0</vt:i4>
      </vt:variant>
      <vt:variant>
        <vt:i4>5</vt:i4>
      </vt:variant>
      <vt:variant>
        <vt:lpwstr/>
      </vt:variant>
      <vt:variant>
        <vt:lpwstr>_Toc226371629</vt:lpwstr>
      </vt:variant>
      <vt:variant>
        <vt:i4>1376309</vt:i4>
      </vt:variant>
      <vt:variant>
        <vt:i4>56</vt:i4>
      </vt:variant>
      <vt:variant>
        <vt:i4>0</vt:i4>
      </vt:variant>
      <vt:variant>
        <vt:i4>5</vt:i4>
      </vt:variant>
      <vt:variant>
        <vt:lpwstr/>
      </vt:variant>
      <vt:variant>
        <vt:lpwstr>_Toc226371628</vt:lpwstr>
      </vt:variant>
      <vt:variant>
        <vt:i4>1376309</vt:i4>
      </vt:variant>
      <vt:variant>
        <vt:i4>50</vt:i4>
      </vt:variant>
      <vt:variant>
        <vt:i4>0</vt:i4>
      </vt:variant>
      <vt:variant>
        <vt:i4>5</vt:i4>
      </vt:variant>
      <vt:variant>
        <vt:lpwstr/>
      </vt:variant>
      <vt:variant>
        <vt:lpwstr>_Toc226371627</vt:lpwstr>
      </vt:variant>
      <vt:variant>
        <vt:i4>1376309</vt:i4>
      </vt:variant>
      <vt:variant>
        <vt:i4>44</vt:i4>
      </vt:variant>
      <vt:variant>
        <vt:i4>0</vt:i4>
      </vt:variant>
      <vt:variant>
        <vt:i4>5</vt:i4>
      </vt:variant>
      <vt:variant>
        <vt:lpwstr/>
      </vt:variant>
      <vt:variant>
        <vt:lpwstr>_Toc226371626</vt:lpwstr>
      </vt:variant>
      <vt:variant>
        <vt:i4>1376309</vt:i4>
      </vt:variant>
      <vt:variant>
        <vt:i4>38</vt:i4>
      </vt:variant>
      <vt:variant>
        <vt:i4>0</vt:i4>
      </vt:variant>
      <vt:variant>
        <vt:i4>5</vt:i4>
      </vt:variant>
      <vt:variant>
        <vt:lpwstr/>
      </vt:variant>
      <vt:variant>
        <vt:lpwstr>_Toc226371625</vt:lpwstr>
      </vt:variant>
      <vt:variant>
        <vt:i4>1376309</vt:i4>
      </vt:variant>
      <vt:variant>
        <vt:i4>32</vt:i4>
      </vt:variant>
      <vt:variant>
        <vt:i4>0</vt:i4>
      </vt:variant>
      <vt:variant>
        <vt:i4>5</vt:i4>
      </vt:variant>
      <vt:variant>
        <vt:lpwstr/>
      </vt:variant>
      <vt:variant>
        <vt:lpwstr>_Toc226371624</vt:lpwstr>
      </vt:variant>
      <vt:variant>
        <vt:i4>1376309</vt:i4>
      </vt:variant>
      <vt:variant>
        <vt:i4>26</vt:i4>
      </vt:variant>
      <vt:variant>
        <vt:i4>0</vt:i4>
      </vt:variant>
      <vt:variant>
        <vt:i4>5</vt:i4>
      </vt:variant>
      <vt:variant>
        <vt:lpwstr/>
      </vt:variant>
      <vt:variant>
        <vt:lpwstr>_Toc226371623</vt:lpwstr>
      </vt:variant>
      <vt:variant>
        <vt:i4>1376309</vt:i4>
      </vt:variant>
      <vt:variant>
        <vt:i4>20</vt:i4>
      </vt:variant>
      <vt:variant>
        <vt:i4>0</vt:i4>
      </vt:variant>
      <vt:variant>
        <vt:i4>5</vt:i4>
      </vt:variant>
      <vt:variant>
        <vt:lpwstr/>
      </vt:variant>
      <vt:variant>
        <vt:lpwstr>_Toc226371622</vt:lpwstr>
      </vt:variant>
      <vt:variant>
        <vt:i4>1376309</vt:i4>
      </vt:variant>
      <vt:variant>
        <vt:i4>14</vt:i4>
      </vt:variant>
      <vt:variant>
        <vt:i4>0</vt:i4>
      </vt:variant>
      <vt:variant>
        <vt:i4>5</vt:i4>
      </vt:variant>
      <vt:variant>
        <vt:lpwstr/>
      </vt:variant>
      <vt:variant>
        <vt:lpwstr>_Toc226371621</vt:lpwstr>
      </vt:variant>
      <vt:variant>
        <vt:i4>1376309</vt:i4>
      </vt:variant>
      <vt:variant>
        <vt:i4>8</vt:i4>
      </vt:variant>
      <vt:variant>
        <vt:i4>0</vt:i4>
      </vt:variant>
      <vt:variant>
        <vt:i4>5</vt:i4>
      </vt:variant>
      <vt:variant>
        <vt:lpwstr/>
      </vt:variant>
      <vt:variant>
        <vt:lpwstr>_Toc226371620</vt:lpwstr>
      </vt:variant>
      <vt:variant>
        <vt:i4>1441845</vt:i4>
      </vt:variant>
      <vt:variant>
        <vt:i4>2</vt:i4>
      </vt:variant>
      <vt:variant>
        <vt:i4>0</vt:i4>
      </vt:variant>
      <vt:variant>
        <vt:i4>5</vt:i4>
      </vt:variant>
      <vt:variant>
        <vt:lpwstr/>
      </vt:variant>
      <vt:variant>
        <vt:lpwstr>_Toc226371619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Singh Yessian</dc:creator>
  <cp:keywords/>
  <cp:lastModifiedBy>Augestin Vivek James</cp:lastModifiedBy>
  <cp:revision>4</cp:revision>
  <dcterms:created xsi:type="dcterms:W3CDTF">2026-04-09T07:52:00Z</dcterms:created>
  <dcterms:modified xsi:type="dcterms:W3CDTF">2026-05-15T05:38:00Z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Creator">
    <vt:lpwstr>Adobe InDesign 19.3 (Macintosh)</vt:lpwstr>
  </property>
  <property fmtid="{D5CDD505-2E9C-101B-9397-08002B2CF9AE}" pid="4" name="LastSaved">
    <vt:filetime>2024-03-29T00:00:00Z</vt:filetime>
  </property>
  <property fmtid="{D5CDD505-2E9C-101B-9397-08002B2CF9AE}" pid="5" name="Producer">
    <vt:lpwstr>Adobe PDF Library 17.0</vt:lpwstr>
  </property>
  <property fmtid="{D5CDD505-2E9C-101B-9397-08002B2CF9AE}" pid="6" name="ContentTypeId">
    <vt:lpwstr>0x0101004500A94D046216418F3BCC4FA5662713</vt:lpwstr>
  </property>
  <property fmtid="{D5CDD505-2E9C-101B-9397-08002B2CF9AE}" pid="7" name="MediaServiceImageTags">
    <vt:lpwstr/>
  </property>
</Properties>
</file>