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ontserrat" w:hAnsi="Montserrat"/>
          <w:b/>
          <w:i w:val="0"/>
          <w:color w:val="C8A96B"/>
          <w:sz w:val="26"/>
        </w:rPr>
        <w:t>ALIGNED PRINT &amp; SCAN</w:t>
      </w:r>
    </w:p>
    <w:p>
      <w:pPr>
        <w:jc w:val="center"/>
      </w:pPr>
      <w:r>
        <w:rPr>
          <w:rFonts w:ascii="Playfair Display" w:hAnsi="Playfair Display"/>
          <w:b/>
          <w:i w:val="0"/>
          <w:color w:val="161C4D"/>
          <w:sz w:val="68"/>
        </w:rPr>
        <w:t>OPERATOR</w:t>
        <w:br/>
        <w:t>HANDBOOK</w:t>
      </w:r>
    </w:p>
    <w:p>
      <w:pPr>
        <w:jc w:val="center"/>
      </w:pPr>
      <w:r>
        <w:rPr>
          <w:rFonts w:ascii="Montserrat" w:hAnsi="Montserrat"/>
          <w:b/>
          <w:i w:val="0"/>
          <w:color w:val="6B6D78"/>
          <w:sz w:val="28"/>
        </w:rPr>
        <w:t>Release 10 Certified Operations Edition</w:t>
      </w:r>
    </w:p>
    <w:p>
      <w:pPr>
        <w:spacing w:before="1100"/>
        <w:jc w:val="center"/>
      </w:pPr>
      <w:r>
        <w:rPr>
          <w:rFonts w:ascii="Montserrat" w:hAnsi="Montserrat"/>
          <w:b/>
          <w:i w:val="0"/>
          <w:color w:val="C8A96B"/>
          <w:sz w:val="20"/>
        </w:rPr>
        <w:t>BATCH 5  |  PARTS XII–XIII  |  CHAPTERS 48–53</w:t>
      </w:r>
    </w:p>
    <w:p>
      <w:r>
        <w:br w:type="page"/>
      </w:r>
    </w:p>
    <w:p>
      <w:pPr>
        <w:pStyle w:val="Title"/>
      </w:pPr>
      <w:r>
        <w:t>Contents</w:t>
      </w:r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Part, Chapter, and numbered subsection entries link to the controlled publication headings.</w:t>
      </w:r>
    </w:p>
    <w:p>
      <w:pPr>
        <w:spacing w:after="40"/>
        <w:ind w:left="0"/>
      </w:pPr>
      <w:hyperlink w:anchor="toc_1" w:history="1">
        <w:r>
          <w:rPr>
            <w:color w:val="161C4D"/>
            <w:u w:val="single"/>
          </w:rPr>
          <w:t>PART XII — EXCEPTIONS, SECURITY &amp; OPERATIONAL ASSURANCE</w:t>
        </w:r>
      </w:hyperlink>
    </w:p>
    <w:p>
      <w:pPr>
        <w:spacing w:after="40"/>
        <w:ind w:left="288"/>
      </w:pPr>
      <w:hyperlink w:anchor="toc_2" w:history="1">
        <w:r>
          <w:rPr>
            <w:color w:val="161C4D"/>
            <w:u w:val="single"/>
          </w:rPr>
          <w:t>Chapter 48 — Troubleshooting, Exceptions &amp; Recovery</w:t>
        </w:r>
      </w:hyperlink>
    </w:p>
    <w:p>
      <w:pPr>
        <w:spacing w:after="40"/>
        <w:ind w:left="648"/>
      </w:pPr>
      <w:hyperlink w:anchor="toc_3" w:history="1">
        <w:r>
          <w:rPr>
            <w:color w:val="161C4D"/>
            <w:u w:val="single"/>
          </w:rPr>
          <w:t>48.1 Required Recovery Pattern</w:t>
        </w:r>
      </w:hyperlink>
    </w:p>
    <w:p>
      <w:pPr>
        <w:spacing w:after="40"/>
        <w:ind w:left="648"/>
      </w:pPr>
      <w:hyperlink w:anchor="toc_4" w:history="1">
        <w:r>
          <w:rPr>
            <w:color w:val="161C4D"/>
            <w:u w:val="single"/>
          </w:rPr>
          <w:t>48.2 Missing Information</w:t>
        </w:r>
      </w:hyperlink>
    </w:p>
    <w:p>
      <w:pPr>
        <w:spacing w:after="40"/>
        <w:ind w:left="648"/>
      </w:pPr>
      <w:hyperlink w:anchor="toc_5" w:history="1">
        <w:r>
          <w:rPr>
            <w:color w:val="161C4D"/>
            <w:u w:val="single"/>
          </w:rPr>
          <w:t>48.3 Wrong, Replacement, or Released Document</w:t>
        </w:r>
      </w:hyperlink>
    </w:p>
    <w:p>
      <w:pPr>
        <w:spacing w:after="40"/>
        <w:ind w:left="648"/>
      </w:pPr>
      <w:hyperlink w:anchor="toc_6" w:history="1">
        <w:r>
          <w:rPr>
            <w:color w:val="161C4D"/>
            <w:u w:val="single"/>
          </w:rPr>
          <w:t>48.4 Page Count</w:t>
        </w:r>
      </w:hyperlink>
    </w:p>
    <w:p>
      <w:pPr>
        <w:spacing w:after="40"/>
        <w:ind w:left="648"/>
      </w:pPr>
      <w:hyperlink w:anchor="toc_7" w:history="1">
        <w:r>
          <w:rPr>
            <w:color w:val="161C4D"/>
            <w:u w:val="single"/>
          </w:rPr>
          <w:t>48.5 Quote</w:t>
        </w:r>
      </w:hyperlink>
    </w:p>
    <w:p>
      <w:pPr>
        <w:spacing w:after="40"/>
        <w:ind w:left="648"/>
      </w:pPr>
      <w:hyperlink w:anchor="toc_8" w:history="1">
        <w:r>
          <w:rPr>
            <w:color w:val="161C4D"/>
            <w:u w:val="single"/>
          </w:rPr>
          <w:t>48.6 Payment and Refund Ambiguity</w:t>
        </w:r>
      </w:hyperlink>
    </w:p>
    <w:p>
      <w:pPr>
        <w:spacing w:after="40"/>
        <w:ind w:left="648"/>
      </w:pPr>
      <w:hyperlink w:anchor="toc_9" w:history="1">
        <w:r>
          <w:rPr>
            <w:color w:val="161C4D"/>
            <w:u w:val="single"/>
          </w:rPr>
          <w:t>48.7 Appointment, No-Show, and Safety</w:t>
        </w:r>
      </w:hyperlink>
    </w:p>
    <w:p>
      <w:pPr>
        <w:spacing w:after="40"/>
        <w:ind w:left="648"/>
      </w:pPr>
      <w:hyperlink w:anchor="toc_10" w:history="1">
        <w:r>
          <w:rPr>
            <w:color w:val="161C4D"/>
            <w:u w:val="single"/>
          </w:rPr>
          <w:t>48.8 RON, Proof, KBA, and Identity</w:t>
        </w:r>
      </w:hyperlink>
    </w:p>
    <w:p>
      <w:pPr>
        <w:spacing w:after="40"/>
        <w:ind w:left="648"/>
      </w:pPr>
      <w:hyperlink w:anchor="toc_11" w:history="1">
        <w:r>
          <w:rPr>
            <w:color w:val="161C4D"/>
            <w:u w:val="single"/>
          </w:rPr>
          <w:t>48.9 ORS and PDF Parser</w:t>
        </w:r>
      </w:hyperlink>
    </w:p>
    <w:p>
      <w:pPr>
        <w:spacing w:after="40"/>
        <w:ind w:left="648"/>
      </w:pPr>
      <w:hyperlink w:anchor="toc_12" w:history="1">
        <w:r>
          <w:rPr>
            <w:color w:val="161C4D"/>
            <w:u w:val="single"/>
          </w:rPr>
          <w:t>48.10 Email and Delivery</w:t>
        </w:r>
      </w:hyperlink>
    </w:p>
    <w:p>
      <w:pPr>
        <w:spacing w:after="40"/>
        <w:ind w:left="648"/>
      </w:pPr>
      <w:hyperlink w:anchor="toc_13" w:history="1">
        <w:r>
          <w:rPr>
            <w:color w:val="161C4D"/>
            <w:u w:val="single"/>
          </w:rPr>
          <w:t>48.11 Loan Package, Scanback, and Return</w:t>
        </w:r>
      </w:hyperlink>
    </w:p>
    <w:p>
      <w:pPr>
        <w:spacing w:after="40"/>
        <w:ind w:left="648"/>
      </w:pPr>
      <w:hyperlink w:anchor="toc_14" w:history="1">
        <w:r>
          <w:rPr>
            <w:color w:val="161C4D"/>
            <w:u w:val="single"/>
          </w:rPr>
          <w:t>48.12 Cancellation, No-Sign, Partial, Resign, and Wait</w:t>
        </w:r>
      </w:hyperlink>
    </w:p>
    <w:p>
      <w:pPr>
        <w:spacing w:after="40"/>
        <w:ind w:left="648"/>
      </w:pPr>
      <w:hyperlink w:anchor="toc_15" w:history="1">
        <w:r>
          <w:rPr>
            <w:color w:val="161C4D"/>
            <w:u w:val="single"/>
          </w:rPr>
          <w:t>48.13 Complaint, Chargeback, or Misconduct</w:t>
        </w:r>
      </w:hyperlink>
    </w:p>
    <w:p>
      <w:pPr>
        <w:spacing w:after="40"/>
        <w:ind w:left="648"/>
      </w:pPr>
      <w:hyperlink w:anchor="toc_16" w:history="1">
        <w:r>
          <w:rPr>
            <w:color w:val="161C4D"/>
            <w:u w:val="single"/>
          </w:rPr>
          <w:t>48.14 Admin Loading, Empty, and Error States</w:t>
        </w:r>
      </w:hyperlink>
    </w:p>
    <w:p>
      <w:pPr>
        <w:spacing w:after="40"/>
        <w:ind w:left="288"/>
      </w:pPr>
      <w:hyperlink w:anchor="toc_17" w:history="1">
        <w:r>
          <w:rPr>
            <w:color w:val="161C4D"/>
            <w:u w:val="single"/>
          </w:rPr>
          <w:t>Chapter 49 — Security &amp; Privacy for Operators</w:t>
        </w:r>
      </w:hyperlink>
    </w:p>
    <w:p>
      <w:pPr>
        <w:spacing w:after="40"/>
        <w:ind w:left="648"/>
      </w:pPr>
      <w:hyperlink w:anchor="toc_18" w:history="1">
        <w:r>
          <w:rPr>
            <w:color w:val="161C4D"/>
            <w:u w:val="single"/>
          </w:rPr>
          <w:t>49.1 Customer Privacy</w:t>
        </w:r>
      </w:hyperlink>
    </w:p>
    <w:p>
      <w:pPr>
        <w:spacing w:after="40"/>
        <w:ind w:left="648"/>
      </w:pPr>
      <w:hyperlink w:anchor="toc_19" w:history="1">
        <w:r>
          <w:rPr>
            <w:color w:val="161C4D"/>
            <w:u w:val="single"/>
          </w:rPr>
          <w:t>49.2 Business Tenant Separation</w:t>
        </w:r>
      </w:hyperlink>
    </w:p>
    <w:p>
      <w:pPr>
        <w:spacing w:after="40"/>
        <w:ind w:left="648"/>
      </w:pPr>
      <w:hyperlink w:anchor="toc_20" w:history="1">
        <w:r>
          <w:rPr>
            <w:color w:val="161C4D"/>
            <w:u w:val="single"/>
          </w:rPr>
          <w:t>49.3 Document Security and Protected Links</w:t>
        </w:r>
      </w:hyperlink>
    </w:p>
    <w:p>
      <w:pPr>
        <w:spacing w:after="40"/>
        <w:ind w:left="648"/>
      </w:pPr>
      <w:hyperlink w:anchor="toc_21" w:history="1">
        <w:r>
          <w:rPr>
            <w:color w:val="161C4D"/>
            <w:u w:val="single"/>
          </w:rPr>
          <w:t>49.4 Passwords and Recovery</w:t>
        </w:r>
      </w:hyperlink>
    </w:p>
    <w:p>
      <w:pPr>
        <w:spacing w:after="40"/>
        <w:ind w:left="648"/>
      </w:pPr>
      <w:hyperlink w:anchor="toc_22" w:history="1">
        <w:r>
          <w:rPr>
            <w:color w:val="161C4D"/>
            <w:u w:val="single"/>
          </w:rPr>
          <w:t>49.5 Payment Information</w:t>
        </w:r>
      </w:hyperlink>
    </w:p>
    <w:p>
      <w:pPr>
        <w:spacing w:after="40"/>
        <w:ind w:left="648"/>
      </w:pPr>
      <w:hyperlink w:anchor="toc_23" w:history="1">
        <w:r>
          <w:rPr>
            <w:color w:val="161C4D"/>
            <w:u w:val="single"/>
          </w:rPr>
          <w:t>49.6 IDs and KBA</w:t>
        </w:r>
      </w:hyperlink>
    </w:p>
    <w:p>
      <w:pPr>
        <w:spacing w:after="40"/>
        <w:ind w:left="648"/>
      </w:pPr>
      <w:hyperlink w:anchor="toc_24" w:history="1">
        <w:r>
          <w:rPr>
            <w:color w:val="161C4D"/>
            <w:u w:val="single"/>
          </w:rPr>
          <w:t>49.7 Internal Notes</w:t>
        </w:r>
      </w:hyperlink>
    </w:p>
    <w:p>
      <w:pPr>
        <w:spacing w:after="40"/>
        <w:ind w:left="648"/>
      </w:pPr>
      <w:hyperlink w:anchor="toc_25" w:history="1">
        <w:r>
          <w:rPr>
            <w:color w:val="161C4D"/>
            <w:u w:val="single"/>
          </w:rPr>
          <w:t>49.8 Admin, Business, and Customer Access</w:t>
        </w:r>
      </w:hyperlink>
    </w:p>
    <w:p>
      <w:pPr>
        <w:spacing w:after="40"/>
        <w:ind w:left="648"/>
      </w:pPr>
      <w:hyperlink w:anchor="toc_26" w:history="1">
        <w:r>
          <w:rPr>
            <w:color w:val="161C4D"/>
            <w:u w:val="single"/>
          </w:rPr>
          <w:t>49.9 Downloads and Emailing Documents</w:t>
        </w:r>
      </w:hyperlink>
    </w:p>
    <w:p>
      <w:pPr>
        <w:spacing w:after="40"/>
        <w:ind w:left="648"/>
      </w:pPr>
      <w:hyperlink w:anchor="toc_27" w:history="1">
        <w:r>
          <w:rPr>
            <w:color w:val="161C4D"/>
            <w:u w:val="single"/>
          </w:rPr>
          <w:t>49.10 Personal Devices</w:t>
        </w:r>
      </w:hyperlink>
    </w:p>
    <w:p>
      <w:pPr>
        <w:spacing w:after="40"/>
        <w:ind w:left="648"/>
      </w:pPr>
      <w:hyperlink w:anchor="toc_28" w:history="1">
        <w:r>
          <w:rPr>
            <w:color w:val="161C4D"/>
            <w:u w:val="single"/>
          </w:rPr>
          <w:t>49.11 Screenshots and Training Data</w:t>
        </w:r>
      </w:hyperlink>
    </w:p>
    <w:p>
      <w:pPr>
        <w:spacing w:after="40"/>
        <w:ind w:left="648"/>
      </w:pPr>
      <w:hyperlink w:anchor="toc_29" w:history="1">
        <w:r>
          <w:rPr>
            <w:color w:val="161C4D"/>
            <w:u w:val="single"/>
          </w:rPr>
          <w:t>49.12 Secrets</w:t>
        </w:r>
      </w:hyperlink>
    </w:p>
    <w:p>
      <w:pPr>
        <w:spacing w:after="40"/>
        <w:ind w:left="648"/>
      </w:pPr>
      <w:hyperlink w:anchor="toc_30" w:history="1">
        <w:r>
          <w:rPr>
            <w:color w:val="161C4D"/>
            <w:u w:val="single"/>
          </w:rPr>
          <w:t>49.13 Incident Escalation</w:t>
        </w:r>
      </w:hyperlink>
    </w:p>
    <w:p>
      <w:pPr>
        <w:spacing w:after="40"/>
        <w:ind w:left="288"/>
      </w:pPr>
      <w:hyperlink w:anchor="toc_31" w:history="1">
        <w:r>
          <w:rPr>
            <w:color w:val="161C4D"/>
            <w:u w:val="single"/>
          </w:rPr>
          <w:t>Chapter 50 — Operational Assurance &amp; Handbook Control</w:t>
        </w:r>
      </w:hyperlink>
    </w:p>
    <w:p>
      <w:pPr>
        <w:spacing w:after="40"/>
        <w:ind w:left="648"/>
      </w:pPr>
      <w:hyperlink w:anchor="toc_32" w:history="1">
        <w:r>
          <w:rPr>
            <w:color w:val="161C4D"/>
            <w:u w:val="single"/>
          </w:rPr>
          <w:t>50.1 Pre-Action Checks</w:t>
        </w:r>
      </w:hyperlink>
    </w:p>
    <w:p>
      <w:pPr>
        <w:spacing w:after="40"/>
        <w:ind w:left="648"/>
      </w:pPr>
      <w:hyperlink w:anchor="toc_33" w:history="1">
        <w:r>
          <w:rPr>
            <w:color w:val="161C4D"/>
            <w:u w:val="single"/>
          </w:rPr>
          <w:t>50.2 Post-Action Verification</w:t>
        </w:r>
      </w:hyperlink>
    </w:p>
    <w:p>
      <w:pPr>
        <w:spacing w:after="40"/>
        <w:ind w:left="648"/>
      </w:pPr>
      <w:hyperlink w:anchor="toc_34" w:history="1">
        <w:r>
          <w:rPr>
            <w:color w:val="161C4D"/>
            <w:u w:val="single"/>
          </w:rPr>
          <w:t>50.3 Timeline and Audit Integrity</w:t>
        </w:r>
      </w:hyperlink>
    </w:p>
    <w:p>
      <w:pPr>
        <w:spacing w:after="40"/>
        <w:ind w:left="648"/>
      </w:pPr>
      <w:hyperlink w:anchor="toc_35" w:history="1">
        <w:r>
          <w:rPr>
            <w:color w:val="161C4D"/>
            <w:u w:val="single"/>
          </w:rPr>
          <w:t>50.4 Duplicate Prevention</w:t>
        </w:r>
      </w:hyperlink>
    </w:p>
    <w:p>
      <w:pPr>
        <w:spacing w:after="40"/>
        <w:ind w:left="648"/>
      </w:pPr>
      <w:hyperlink w:anchor="toc_36" w:history="1">
        <w:r>
          <w:rPr>
            <w:color w:val="161C4D"/>
            <w:u w:val="single"/>
          </w:rPr>
          <w:t>50.5 End-of-Day Review</w:t>
        </w:r>
      </w:hyperlink>
    </w:p>
    <w:p>
      <w:pPr>
        <w:spacing w:after="40"/>
        <w:ind w:left="648"/>
      </w:pPr>
      <w:hyperlink w:anchor="toc_37" w:history="1">
        <w:r>
          <w:rPr>
            <w:color w:val="161C4D"/>
            <w:u w:val="single"/>
          </w:rPr>
          <w:t>50.6 Source Drift</w:t>
        </w:r>
      </w:hyperlink>
    </w:p>
    <w:p>
      <w:pPr>
        <w:spacing w:after="40"/>
        <w:ind w:left="648"/>
      </w:pPr>
      <w:hyperlink w:anchor="toc_38" w:history="1">
        <w:r>
          <w:rPr>
            <w:color w:val="161C4D"/>
            <w:u w:val="single"/>
          </w:rPr>
          <w:t>50.7 Handbook Maintenance</w:t>
        </w:r>
      </w:hyperlink>
    </w:p>
    <w:p>
      <w:pPr>
        <w:spacing w:after="40"/>
        <w:ind w:left="648"/>
      </w:pPr>
      <w:hyperlink w:anchor="toc_39" w:history="1">
        <w:r>
          <w:rPr>
            <w:color w:val="161C4D"/>
            <w:u w:val="single"/>
          </w:rPr>
          <w:t>50.8 Legal and Provider Source Revalidation</w:t>
        </w:r>
      </w:hyperlink>
    </w:p>
    <w:p>
      <w:pPr>
        <w:spacing w:after="40"/>
        <w:ind w:left="648"/>
      </w:pPr>
      <w:hyperlink w:anchor="toc_40" w:history="1">
        <w:r>
          <w:rPr>
            <w:color w:val="161C4D"/>
            <w:u w:val="single"/>
          </w:rPr>
          <w:t>50.9 Controlled Revision and Owner Approval</w:t>
        </w:r>
      </w:hyperlink>
    </w:p>
    <w:p>
      <w:pPr>
        <w:spacing w:after="40"/>
        <w:ind w:left="0"/>
      </w:pPr>
      <w:hyperlink w:anchor="toc_41" w:history="1">
        <w:r>
          <w:rPr>
            <w:color w:val="161C4D"/>
            <w:u w:val="single"/>
          </w:rPr>
          <w:t>PART XIII — QUICK REFERENCES &amp; APPENDICES</w:t>
        </w:r>
      </w:hyperlink>
    </w:p>
    <w:p>
      <w:pPr>
        <w:spacing w:after="40"/>
        <w:ind w:left="288"/>
      </w:pPr>
      <w:hyperlink w:anchor="toc_42" w:history="1">
        <w:r>
          <w:rPr>
            <w:color w:val="161C4D"/>
            <w:u w:val="single"/>
          </w:rPr>
          <w:t>Chapter 51 — Admin, State, People, Documents &amp; Money Quick References</w:t>
        </w:r>
      </w:hyperlink>
    </w:p>
    <w:p>
      <w:pPr>
        <w:spacing w:after="40"/>
        <w:ind w:left="648"/>
      </w:pPr>
      <w:hyperlink w:anchor="toc_43" w:history="1">
        <w:r>
          <w:rPr>
            <w:color w:val="161C4D"/>
            <w:u w:val="single"/>
          </w:rPr>
          <w:t>51.1 APS System Map</w:t>
        </w:r>
      </w:hyperlink>
    </w:p>
    <w:p>
      <w:pPr>
        <w:spacing w:after="40"/>
        <w:ind w:left="648"/>
      </w:pPr>
      <w:hyperlink w:anchor="toc_44" w:history="1">
        <w:r>
          <w:rPr>
            <w:color w:val="161C4D"/>
            <w:u w:val="single"/>
          </w:rPr>
          <w:t>51.2 Universal Request Lifecycle</w:t>
        </w:r>
      </w:hyperlink>
    </w:p>
    <w:p>
      <w:pPr>
        <w:spacing w:after="40"/>
        <w:ind w:left="648"/>
      </w:pPr>
      <w:hyperlink w:anchor="toc_45" w:history="1">
        <w:r>
          <w:rPr>
            <w:color w:val="161C4D"/>
            <w:u w:val="single"/>
          </w:rPr>
          <w:t>51.3 Where Do I Go in Admin?</w:t>
        </w:r>
      </w:hyperlink>
    </w:p>
    <w:p>
      <w:pPr>
        <w:spacing w:after="40"/>
        <w:ind w:left="648"/>
      </w:pPr>
      <w:hyperlink w:anchor="toc_46" w:history="1">
        <w:r>
          <w:rPr>
            <w:color w:val="161C4D"/>
            <w:u w:val="single"/>
          </w:rPr>
          <w:t>51.4 Request Workspace Tabs</w:t>
        </w:r>
      </w:hyperlink>
    </w:p>
    <w:p>
      <w:pPr>
        <w:spacing w:after="40"/>
        <w:ind w:left="648"/>
      </w:pPr>
      <w:hyperlink w:anchor="toc_47" w:history="1">
        <w:r>
          <w:rPr>
            <w:color w:val="161C4D"/>
            <w:u w:val="single"/>
          </w:rPr>
          <w:t>51.5 Review Queue Decision Guide</w:t>
        </w:r>
      </w:hyperlink>
    </w:p>
    <w:p>
      <w:pPr>
        <w:spacing w:after="40"/>
        <w:ind w:left="648"/>
      </w:pPr>
      <w:hyperlink w:anchor="toc_48" w:history="1">
        <w:r>
          <w:rPr>
            <w:color w:val="161C4D"/>
            <w:u w:val="single"/>
          </w:rPr>
          <w:t>51.6 State Mental Map</w:t>
        </w:r>
      </w:hyperlink>
    </w:p>
    <w:p>
      <w:pPr>
        <w:spacing w:after="40"/>
        <w:ind w:left="648"/>
      </w:pPr>
      <w:hyperlink w:anchor="toc_49" w:history="1">
        <w:r>
          <w:rPr>
            <w:color w:val="161C4D"/>
            <w:u w:val="single"/>
          </w:rPr>
          <w:t>51.7 Loading vs Empty vs Error</w:t>
        </w:r>
      </w:hyperlink>
    </w:p>
    <w:p>
      <w:pPr>
        <w:spacing w:after="40"/>
        <w:ind w:left="648"/>
      </w:pPr>
      <w:hyperlink w:anchor="toc_50" w:history="1">
        <w:r>
          <w:rPr>
            <w:color w:val="161C4D"/>
            <w:u w:val="single"/>
          </w:rPr>
          <w:t>51.8 Customer vs Signer vs Ordering Party</w:t>
        </w:r>
      </w:hyperlink>
    </w:p>
    <w:p>
      <w:pPr>
        <w:spacing w:after="40"/>
        <w:ind w:left="648"/>
      </w:pPr>
      <w:hyperlink w:anchor="toc_51" w:history="1">
        <w:r>
          <w:rPr>
            <w:color w:val="161C4D"/>
            <w:u w:val="single"/>
          </w:rPr>
          <w:t>51.9 Document Classification</w:t>
        </w:r>
      </w:hyperlink>
    </w:p>
    <w:p>
      <w:pPr>
        <w:spacing w:after="40"/>
        <w:ind w:left="648"/>
      </w:pPr>
      <w:hyperlink w:anchor="toc_52" w:history="1">
        <w:r>
          <w:rPr>
            <w:color w:val="161C4D"/>
            <w:u w:val="single"/>
          </w:rPr>
          <w:t>51.10 Document Release Checklist</w:t>
        </w:r>
      </w:hyperlink>
    </w:p>
    <w:p>
      <w:pPr>
        <w:spacing w:after="40"/>
        <w:ind w:left="648"/>
      </w:pPr>
      <w:hyperlink w:anchor="toc_53" w:history="1">
        <w:r>
          <w:rPr>
            <w:color w:val="161C4D"/>
            <w:u w:val="single"/>
          </w:rPr>
          <w:t>51.11 Document Mistake Recovery</w:t>
        </w:r>
      </w:hyperlink>
    </w:p>
    <w:p>
      <w:pPr>
        <w:spacing w:after="40"/>
        <w:ind w:left="648"/>
      </w:pPr>
      <w:hyperlink w:anchor="toc_54" w:history="1">
        <w:r>
          <w:rPr>
            <w:color w:val="161C4D"/>
            <w:u w:val="single"/>
          </w:rPr>
          <w:t>51.12 Quote vs Invoice vs Payment vs Receipt</w:t>
        </w:r>
      </w:hyperlink>
    </w:p>
    <w:p>
      <w:pPr>
        <w:spacing w:after="40"/>
        <w:ind w:left="648"/>
      </w:pPr>
      <w:hyperlink w:anchor="toc_55" w:history="1">
        <w:r>
          <w:rPr>
            <w:color w:val="161C4D"/>
            <w:u w:val="single"/>
          </w:rPr>
          <w:t>51.13 Send vs Send &amp; Update Status</w:t>
        </w:r>
      </w:hyperlink>
    </w:p>
    <w:p>
      <w:pPr>
        <w:spacing w:after="40"/>
        <w:ind w:left="288"/>
      </w:pPr>
      <w:hyperlink w:anchor="toc_56" w:history="1">
        <w:r>
          <w:rPr>
            <w:color w:val="161C4D"/>
            <w:u w:val="single"/>
          </w:rPr>
          <w:t>Chapter 52 — Service Quick References</w:t>
        </w:r>
      </w:hyperlink>
    </w:p>
    <w:p>
      <w:pPr>
        <w:spacing w:after="40"/>
        <w:ind w:left="648"/>
      </w:pPr>
      <w:hyperlink w:anchor="toc_57" w:history="1">
        <w:r>
          <w:rPr>
            <w:color w:val="161C4D"/>
            <w:u w:val="single"/>
          </w:rPr>
          <w:t>52.1 Remote Online Notarization Quick References</w:t>
        </w:r>
      </w:hyperlink>
    </w:p>
    <w:p>
      <w:pPr>
        <w:spacing w:after="40"/>
        <w:ind w:left="648"/>
      </w:pPr>
      <w:hyperlink w:anchor="toc_58" w:history="1">
        <w:r>
          <w:rPr>
            <w:color w:val="161C4D"/>
            <w:u w:val="single"/>
          </w:rPr>
          <w:t>52.2 Mobile Notary Quick References</w:t>
        </w:r>
      </w:hyperlink>
    </w:p>
    <w:p>
      <w:pPr>
        <w:spacing w:after="40"/>
        <w:ind w:left="648"/>
      </w:pPr>
      <w:hyperlink w:anchor="toc_59" w:history="1">
        <w:r>
          <w:rPr>
            <w:color w:val="161C4D"/>
            <w:u w:val="single"/>
          </w:rPr>
          <w:t>52.3 Print &amp; Scan Quick References</w:t>
        </w:r>
      </w:hyperlink>
    </w:p>
    <w:p>
      <w:pPr>
        <w:spacing w:after="40"/>
        <w:ind w:left="648"/>
      </w:pPr>
      <w:hyperlink w:anchor="toc_60" w:history="1">
        <w:r>
          <w:rPr>
            <w:color w:val="161C4D"/>
            <w:u w:val="single"/>
          </w:rPr>
          <w:t>52.4 Loan Signing Quick References</w:t>
        </w:r>
      </w:hyperlink>
    </w:p>
    <w:p>
      <w:pPr>
        <w:spacing w:after="40"/>
        <w:ind w:left="648"/>
      </w:pPr>
      <w:hyperlink w:anchor="toc_61" w:history="1">
        <w:r>
          <w:rPr>
            <w:color w:val="161C4D"/>
            <w:u w:val="single"/>
          </w:rPr>
          <w:t>52.5 Business Account Quick References</w:t>
        </w:r>
      </w:hyperlink>
    </w:p>
    <w:p>
      <w:pPr>
        <w:spacing w:after="40"/>
        <w:ind w:left="288"/>
      </w:pPr>
      <w:hyperlink w:anchor="toc_62" w:history="1">
        <w:r>
          <w:rPr>
            <w:color w:val="161C4D"/>
            <w:u w:val="single"/>
          </w:rPr>
          <w:t>Chapter 53 — Communication, Safety &amp; Reference Indexes</w:t>
        </w:r>
      </w:hyperlink>
    </w:p>
    <w:p>
      <w:pPr>
        <w:spacing w:after="40"/>
        <w:ind w:left="648"/>
      </w:pPr>
      <w:hyperlink w:anchor="toc_63" w:history="1">
        <w:r>
          <w:rPr>
            <w:color w:val="161C4D"/>
            <w:u w:val="single"/>
          </w:rPr>
          <w:t>53.1 Which Message Do I Send Now?</w:t>
        </w:r>
      </w:hyperlink>
    </w:p>
    <w:p>
      <w:pPr>
        <w:spacing w:after="40"/>
        <w:ind w:left="648"/>
      </w:pPr>
      <w:hyperlink w:anchor="toc_64" w:history="1">
        <w:r>
          <w:rPr>
            <w:color w:val="161C4D"/>
            <w:u w:val="single"/>
          </w:rPr>
          <w:t>53.2 Template Quick Index</w:t>
        </w:r>
      </w:hyperlink>
    </w:p>
    <w:p>
      <w:pPr>
        <w:spacing w:after="40"/>
        <w:ind w:left="648"/>
      </w:pPr>
      <w:hyperlink w:anchor="toc_65" w:history="1">
        <w:r>
          <w:rPr>
            <w:color w:val="161C4D"/>
            <w:u w:val="single"/>
          </w:rPr>
          <w:t>53.3 Script and Card Quick Index</w:t>
        </w:r>
      </w:hyperlink>
    </w:p>
    <w:p>
      <w:pPr>
        <w:spacing w:after="40"/>
        <w:ind w:left="648"/>
      </w:pPr>
      <w:hyperlink w:anchor="toc_66" w:history="1">
        <w:r>
          <w:rPr>
            <w:color w:val="161C4D"/>
            <w:u w:val="single"/>
          </w:rPr>
          <w:t>53.4 Security Checklist</w:t>
        </w:r>
      </w:hyperlink>
    </w:p>
    <w:p>
      <w:pPr>
        <w:spacing w:after="40"/>
        <w:ind w:left="648"/>
      </w:pPr>
      <w:hyperlink w:anchor="toc_67" w:history="1">
        <w:r>
          <w:rPr>
            <w:color w:val="161C4D"/>
            <w:u w:val="single"/>
          </w:rPr>
          <w:t>53.5 Stop, Hold, and Escalate Guide</w:t>
        </w:r>
      </w:hyperlink>
    </w:p>
    <w:p>
      <w:pPr>
        <w:spacing w:after="40"/>
        <w:ind w:left="648"/>
      </w:pPr>
      <w:hyperlink w:anchor="toc_68" w:history="1">
        <w:r>
          <w:rPr>
            <w:color w:val="161C4D"/>
            <w:u w:val="single"/>
          </w:rPr>
          <w:t>53.6 Daily Opening and End-of-Day</w:t>
        </w:r>
      </w:hyperlink>
    </w:p>
    <w:p>
      <w:pPr>
        <w:spacing w:after="40"/>
        <w:ind w:left="648"/>
      </w:pPr>
      <w:hyperlink w:anchor="toc_69" w:history="1">
        <w:r>
          <w:rPr>
            <w:color w:val="161C4D"/>
            <w:u w:val="single"/>
          </w:rPr>
          <w:t>53.7 Independent Print and Lamination Controls</w:t>
        </w:r>
      </w:hyperlink>
    </w:p>
    <w:p>
      <w:pPr>
        <w:spacing w:after="40"/>
        <w:ind w:left="0"/>
      </w:pPr>
      <w:hyperlink w:anchor="toc_70" w:history="1">
        <w:r>
          <w:rPr>
            <w:color w:val="161C4D"/>
            <w:u w:val="single"/>
          </w:rPr>
          <w:t>APPENDICES</w:t>
        </w:r>
      </w:hyperlink>
    </w:p>
    <w:p>
      <w:pPr>
        <w:spacing w:after="40"/>
        <w:ind w:left="288"/>
      </w:pPr>
      <w:hyperlink w:anchor="toc_71" w:history="1">
        <w:r>
          <w:rPr>
            <w:color w:val="161C4D"/>
            <w:u w:val="single"/>
          </w:rPr>
          <w:t>Appendix A — Glossary and Acronyms</w:t>
        </w:r>
      </w:hyperlink>
    </w:p>
    <w:p>
      <w:pPr>
        <w:spacing w:after="40"/>
        <w:ind w:left="288"/>
      </w:pPr>
      <w:hyperlink w:anchor="toc_72" w:history="1">
        <w:r>
          <w:rPr>
            <w:color w:val="161C4D"/>
            <w:u w:val="single"/>
          </w:rPr>
          <w:t>Appendix B — Status and State Catalog</w:t>
        </w:r>
      </w:hyperlink>
    </w:p>
    <w:p>
      <w:pPr>
        <w:spacing w:after="40"/>
        <w:ind w:left="288"/>
      </w:pPr>
      <w:hyperlink w:anchor="toc_73" w:history="1">
        <w:r>
          <w:rPr>
            <w:color w:val="161C4D"/>
            <w:u w:val="single"/>
          </w:rPr>
          <w:t>Appendix C — Template Index and Production Reconciliation</w:t>
        </w:r>
      </w:hyperlink>
    </w:p>
    <w:p>
      <w:pPr>
        <w:spacing w:after="40"/>
        <w:ind w:left="288"/>
      </w:pPr>
      <w:hyperlink w:anchor="toc_74" w:history="1">
        <w:r>
          <w:rPr>
            <w:color w:val="161C4D"/>
            <w:u w:val="single"/>
          </w:rPr>
          <w:t>Appendix D — Script and Card Index</w:t>
        </w:r>
      </w:hyperlink>
    </w:p>
    <w:p>
      <w:pPr>
        <w:spacing w:after="40"/>
        <w:ind w:left="288"/>
      </w:pPr>
      <w:hyperlink w:anchor="toc_75" w:history="1">
        <w:r>
          <w:rPr>
            <w:color w:val="161C4D"/>
            <w:u w:val="single"/>
          </w:rPr>
          <w:t>Appendix E — Package Comparison</w:t>
        </w:r>
      </w:hyperlink>
    </w:p>
    <w:p>
      <w:pPr>
        <w:spacing w:after="40"/>
        <w:ind w:left="288"/>
      </w:pPr>
      <w:hyperlink w:anchor="toc_76" w:history="1">
        <w:r>
          <w:rPr>
            <w:color w:val="161C4D"/>
            <w:u w:val="single"/>
          </w:rPr>
          <w:t>Appendix F — Loan Document Source Register</w:t>
        </w:r>
      </w:hyperlink>
    </w:p>
    <w:p>
      <w:pPr>
        <w:spacing w:after="40"/>
        <w:ind w:left="288"/>
      </w:pPr>
      <w:hyperlink w:anchor="toc_77" w:history="1">
        <w:r>
          <w:rPr>
            <w:color w:val="161C4D"/>
            <w:u w:val="single"/>
          </w:rPr>
          <w:t>Appendix G — Figure, Table, Procedure, Checklist, and Decision Tree Index</w:t>
        </w:r>
      </w:hyperlink>
    </w:p>
    <w:p>
      <w:pPr>
        <w:spacing w:after="40"/>
        <w:ind w:left="288"/>
      </w:pPr>
      <w:hyperlink w:anchor="toc_78" w:history="1">
        <w:r>
          <w:rPr>
            <w:color w:val="161C4D"/>
            <w:u w:val="single"/>
          </w:rPr>
          <w:t>Appendix H — Source Authority and Traceability</w:t>
        </w:r>
      </w:hyperlink>
    </w:p>
    <w:p>
      <w:pPr>
        <w:spacing w:after="40"/>
        <w:ind w:left="288"/>
      </w:pPr>
      <w:hyperlink w:anchor="toc_79" w:history="1">
        <w:r>
          <w:rPr>
            <w:color w:val="161C4D"/>
            <w:u w:val="single"/>
          </w:rPr>
          <w:t>Appendix I — Revision History and Owner Approval</w:t>
        </w:r>
      </w:hyperlink>
    </w:p>
    <w:p>
      <w:r>
        <w:br w:type="page"/>
      </w:r>
    </w:p>
    <w:p>
      <w:bookmarkStart w:id="1000" w:name="toc_1"/>
      <w:pPr>
        <w:pStyle w:val="Title"/>
      </w:pPr>
      <w:r>
        <w:t>PART XII — EXCEPTIONS, SECURITY &amp; OPERATIONAL ASSURANCE</w:t>
      </w:r>
      <w:bookmarkEnd w:id="1000"/>
    </w:p>
    <w:p>
      <w:bookmarkStart w:id="1001" w:name="toc_2"/>
      <w:pPr>
        <w:pStyle w:val="Heading1"/>
        <w:pageBreakBefore/>
      </w:pPr>
      <w:r>
        <w:t>Chapter 48 — Troubleshooting, Exceptions &amp; Recovery</w:t>
      </w:r>
      <w:bookmarkEnd w:id="1001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Purpose: perform this workflow from verified APS and assignment evidence while preserving legal, notarial, financial, privacy, and ordering-party boundaries.</w:t>
      </w:r>
    </w:p>
    <w:p>
      <w:pPr>
        <w:spacing w:after="120" w:line="293" w:lineRule="auto"/>
      </w:pPr>
      <w:r>
        <w:rPr>
          <w:rFonts w:ascii="Montserrat" w:hAnsi="Montserrat"/>
          <w:b/>
          <w:i w:val="0"/>
          <w:color w:val="161C4D"/>
          <w:sz w:val="19"/>
        </w:rPr>
        <w:t>YOU WILL LEARN TO</w:t>
      </w:r>
    </w:p>
    <w:p>
      <w:pPr>
        <w:pStyle w:val="ListBullet"/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Review the authoritative assignment, act within role, stop at blockers, communicate accurately, and leave a complete audit trail.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13002"/>
            <wp:docPr id="1" name="Picture 1" descr="Exception Recovery Decision Tree with connected steps and decision g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8-exception-recov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3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ontserrat" w:hAnsi="Montserrat"/>
          <w:b w:val="0"/>
          <w:i/>
          <w:color w:val="6B6D78"/>
          <w:sz w:val="17"/>
        </w:rPr>
        <w:t>Exception Recovery Decision Tree</w:t>
      </w:r>
    </w:p>
    <w:p>
      <w:bookmarkStart w:id="1002" w:name="toc_3"/>
      <w:pPr>
        <w:pStyle w:val="Heading2"/>
      </w:pPr>
      <w:r>
        <w:t>48.1 Required Recovery Pattern</w:t>
      </w:r>
      <w:bookmarkEnd w:id="1002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Every exception record answers: SYMPTOM; WHAT TO CHECK; LIKELY CAUSE; WHAT TO DO; WHAT NOT TO DO; CUSTOMER COMMUNICATION; WHEN TO ESCALATE; WHAT GETS RECORDED. Begin from the exact request and authoritative evidence. Never manufacture a status, bypass a gate, duplicate a charge/send, or conceal an unresolved condition.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2448"/>
            <w:vAlign w:val="center"/>
            <w:shd w:fill="161C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Symptom</w:t>
            </w:r>
          </w:p>
        </w:tc>
        <w:tc>
          <w:tcPr>
            <w:tcW w:type="dxa" w:w="2448"/>
            <w:vAlign w:val="center"/>
            <w:shd w:fill="161C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What to check / likely cause</w:t>
            </w:r>
          </w:p>
        </w:tc>
        <w:tc>
          <w:tcPr>
            <w:tcW w:type="dxa" w:w="2448"/>
            <w:vAlign w:val="center"/>
            <w:shd w:fill="161C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What to do</w:t>
            </w:r>
          </w:p>
        </w:tc>
        <w:tc>
          <w:tcPr>
            <w:tcW w:type="dxa" w:w="2448"/>
            <w:vAlign w:val="center"/>
            <w:shd w:fill="161C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What not to do / escalation / record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Missing information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current request, participants, documents, instructions, prior asks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request the exact missing fact through the maintained path; hold the affected gate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do not guess; escalate conflicting authority; record item, request, recipient, delivery, resolution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Wrong or replacement document</w:t>
            </w:r>
          </w:p>
        </w:tc>
        <w:tc>
          <w:tcPr>
            <w:tcW w:type="dxa" w:w="244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request, classification, version, source, release state</w:t>
            </w:r>
          </w:p>
        </w:tc>
        <w:tc>
          <w:tcPr>
            <w:tcW w:type="dxa" w:w="244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quarantine wrong/superseded item, identify active version, repeat review</w:t>
            </w:r>
          </w:p>
        </w:tc>
        <w:tc>
          <w:tcPr>
            <w:tcW w:type="dxa" w:w="244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do not delete history or release an unreviewed replacement; record lineage and decision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Page-count mismatch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authoritative source, parser output, manual count, color/copies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reconcile with the source; use governed manual count when parser cannot establish authority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do not price/produce from an unexplained count; record count method and evidence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Quote conflict</w:t>
            </w:r>
          </w:p>
        </w:tc>
        <w:tc>
          <w:tcPr>
            <w:tcW w:type="dxa" w:w="244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current scope, version, approval, invoice, service facts</w:t>
            </w:r>
          </w:p>
        </w:tc>
        <w:tc>
          <w:tcPr>
            <w:tcW w:type="dxa" w:w="244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revise prospectively and obtain authorization</w:t>
            </w:r>
          </w:p>
        </w:tc>
        <w:tc>
          <w:tcPr>
            <w:tcW w:type="dxa" w:w="244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do not overwrite approval or invoice history; escalate unauthorized concessions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Payment/refund ambiguity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ledger, provider evidence, invoice, authorization, prior attempts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hold fulfillment/financial closure and route authorized review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do not retry blindly, promise settlement time, or mark processed early</w:t>
            </w:r>
          </w:p>
        </w:tc>
      </w:tr>
    </w:tbl>
    <w:p/>
    <w:p>
      <w:bookmarkStart w:id="1003" w:name="toc_4"/>
      <w:pPr>
        <w:pStyle w:val="Heading2"/>
      </w:pPr>
      <w:r>
        <w:t>48.2 Missing Information</w:t>
      </w:r>
      <w:bookmarkEnd w:id="1003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Name the missing item, why it blocks advancement, who may supply it, and the safe next step. Recheck after receipt; a reply is not proof the blocker is resolved.</w:t>
      </w:r>
    </w:p>
    <w:p>
      <w:bookmarkStart w:id="1004" w:name="toc_5"/>
      <w:pPr>
        <w:pStyle w:val="Heading2"/>
      </w:pPr>
      <w:r>
        <w:t>48.3 Wrong, Replacement, or Released Document</w:t>
      </w:r>
      <w:bookmarkEnd w:id="1004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Keep source, internal, customer-visible, released, superseded, and replacement states distinct. If an incorrect file was released, stop further release, preserve audit evidence, identify recipients and scope, escalate privacy/security review, and use only approved correction communication.</w:t>
      </w:r>
    </w:p>
    <w:p>
      <w:bookmarkStart w:id="1005" w:name="toc_6"/>
      <w:pPr>
        <w:pStyle w:val="Heading2"/>
      </w:pPr>
      <w:r>
        <w:t>48.4 Page Count</w:t>
      </w:r>
      <w:bookmarkEnd w:id="1005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Compare the exact source file with authoritative page-count evidence. For parsing failure, password protection, unsupported format, mixed originals, or manual physical pages, record the governed fallback. Reconfirm after replacement.</w:t>
      </w:r>
    </w:p>
    <w:p>
      <w:bookmarkStart w:id="1006" w:name="toc_7"/>
      <w:pPr>
        <w:pStyle w:val="Heading2"/>
      </w:pPr>
      <w:r>
        <w:t>48.5 Quote</w:t>
      </w:r>
      <w:bookmarkEnd w:id="1006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Compare service, scope, rates, travel, pages/copies, timing, add-ons, approval, and invoice. Correct with a new version; do not retroactively rewrite the accepted quote.</w:t>
      </w:r>
    </w:p>
    <w:p>
      <w:bookmarkStart w:id="1007" w:name="toc_8"/>
      <w:pPr>
        <w:pStyle w:val="Heading2"/>
      </w:pPr>
      <w:r>
        <w:t>48.6 Payment and Refund Ambiguity</w:t>
      </w:r>
      <w:bookmarkEnd w:id="1007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Separate attempted, failed, pending, paid, partially paid, refund due, and refund processed. Provider evidence and the APS ledger must agree before customer-facing finality.</w:t>
      </w:r>
    </w:p>
    <w:p>
      <w:bookmarkStart w:id="1008" w:name="toc_9"/>
      <w:pPr>
        <w:pStyle w:val="Heading2"/>
      </w:pPr>
      <w:r>
        <w:t>48.7 Appointment, No-Show, and Safety</w:t>
      </w:r>
      <w:bookmarkEnd w:id="1008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Verify location, time/timezone, contact attempts, arrival/departure evidence, wait rule, access, and safety facts. Personal safety overrides schedule pressure. Record neutral facts and return instructions.</w:t>
      </w:r>
    </w:p>
    <w:p>
      <w:bookmarkStart w:id="1009" w:name="toc_10"/>
      <w:pPr>
        <w:pStyle w:val="Heading2"/>
      </w:pPr>
      <w:r>
        <w:t>48.8 RON, Proof, KBA, and Identity</w:t>
      </w:r>
      <w:bookmarkEnd w:id="1009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Do not coach KBA, store answers, create substitute identities, or describe a provider attempt as successful. Preserve the existing transaction where authorized, use provider-supported recovery, and route alternative service only after eligibility review.</w:t>
      </w:r>
    </w:p>
    <w:p>
      <w:bookmarkStart w:id="1010" w:name="toc_11"/>
      <w:pPr>
        <w:pStyle w:val="Heading2"/>
      </w:pPr>
      <w:r>
        <w:t>48.9 ORS and PDF Parser</w:t>
      </w:r>
      <w:bookmarkEnd w:id="1010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Treat ORS or parser output as an aid, not authority. If routing, mileage, file type, encryption, corruption, or page extraction prevents a dependable result, use the maintained manual path and document the basis.</w:t>
      </w:r>
    </w:p>
    <w:p>
      <w:bookmarkStart w:id="1011" w:name="toc_12"/>
      <w:pPr>
        <w:pStyle w:val="Heading2"/>
      </w:pPr>
      <w:r>
        <w:t>48.10 Email and Delivery</w:t>
      </w:r>
      <w:bookmarkEnd w:id="1011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Check recipient eligibility, address, template, rendered content, attachment/release authority, delivery result, and prior attempts. Never treat “send clicked” as delivery or resend blindly.</w:t>
      </w:r>
    </w:p>
    <w:p>
      <w:bookmarkStart w:id="1012" w:name="toc_13"/>
      <w:pPr>
        <w:pStyle w:val="Heading2"/>
      </w:pPr>
      <w:r>
        <w:t>48.11 Loan Package, Scanback, and Return</w:t>
      </w:r>
      <w:bookmarkEnd w:id="1012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Confirm active version, print count, completed signatures/initials/dates/certificates, scanback scope/QC, approval requirement, label/destination, drop-off, and tracking. Never return before required approval.</w:t>
      </w:r>
    </w:p>
    <w:p>
      <w:bookmarkStart w:id="1013" w:name="toc_14"/>
      <w:pPr>
        <w:pStyle w:val="Heading2"/>
      </w:pPr>
      <w:r>
        <w:t>48.12 Cancellation, No-Sign, Partial, Resign, and Wait</w:t>
      </w:r>
      <w:bookmarkEnd w:id="1013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Keep service outcome, operational cause, financial decision, communication, and any linked return visit separate. Policy suggestions do not authorize charges, waivers, or refunds.</w:t>
      </w:r>
    </w:p>
    <w:p>
      <w:bookmarkStart w:id="1014" w:name="toc_15"/>
      <w:pPr>
        <w:pStyle w:val="Heading2"/>
      </w:pPr>
      <w:r>
        <w:t>48.13 Complaint, Chargeback, or Misconduct</w:t>
      </w:r>
      <w:bookmarkEnd w:id="1014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Preserve records; use neutral language; restrict access; do not retaliate, diagnose, admit unsupported fault, alter history, or contact parties outside authority. Escalate promptly to the owner/authorized reviewer.</w:t>
      </w:r>
    </w:p>
    <w:p>
      <w:bookmarkStart w:id="1015" w:name="toc_16"/>
      <w:pPr>
        <w:pStyle w:val="Heading2"/>
      </w:pPr>
      <w:r>
        <w:t>48.14 Admin Loading, Empty, and Error States</w:t>
      </w:r>
      <w:bookmarkEnd w:id="1015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Loading means wait; empty means no matching visible records; error means retrieval failed. Recheck filters, organization, request, connectivity, and permissions. Do not act from stale or incomplete content.</w:t>
      </w:r>
    </w:p>
    <w:p>
      <w:bookmarkStart w:id="1016" w:name="toc_17"/>
      <w:pPr>
        <w:pStyle w:val="Heading1"/>
        <w:pageBreakBefore/>
      </w:pPr>
      <w:r>
        <w:t>Chapter 49 — Security &amp; Privacy for Operators</w:t>
      </w:r>
      <w:bookmarkEnd w:id="1016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Purpose: perform this workflow from verified APS and assignment evidence while preserving legal, notarial, financial, privacy, and ordering-party boundaries.</w:t>
      </w:r>
    </w:p>
    <w:p>
      <w:pPr>
        <w:spacing w:after="120" w:line="293" w:lineRule="auto"/>
      </w:pPr>
      <w:r>
        <w:rPr>
          <w:rFonts w:ascii="Montserrat" w:hAnsi="Montserrat"/>
          <w:b/>
          <w:i w:val="0"/>
          <w:color w:val="161C4D"/>
          <w:sz w:val="19"/>
        </w:rPr>
        <w:t>YOU WILL LEARN TO</w:t>
      </w:r>
    </w:p>
    <w:p>
      <w:pPr>
        <w:pStyle w:val="ListBullet"/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Review the authoritative assignment, act within role, stop at blockers, communicate accurately, and leave a complete audit trail.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13002"/>
            <wp:docPr id="2" name="Picture 2" descr="Operator Security Boundary with connected steps and decision g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9-security-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3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ontserrat" w:hAnsi="Montserrat"/>
          <w:b w:val="0"/>
          <w:i/>
          <w:color w:val="6B6D78"/>
          <w:sz w:val="17"/>
        </w:rPr>
        <w:t>Operator Security Boundary</w:t>
      </w:r>
    </w:p>
    <w:p>
      <w:bookmarkStart w:id="1017" w:name="toc_18"/>
      <w:pPr>
        <w:pStyle w:val="Heading2"/>
      </w:pPr>
      <w:r>
        <w:t>49.1 Customer Privacy</w:t>
      </w:r>
      <w:bookmarkEnd w:id="1017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Access only the minimum information needed for the assigned task. Verify recipient, request, purpose, channel, and release authority before viewing, downloading, discussing, or sending protected information.</w:t>
      </w:r>
    </w:p>
    <w:p>
      <w:bookmarkStart w:id="1018" w:name="toc_19"/>
      <w:pPr>
        <w:pStyle w:val="Heading2"/>
      </w:pPr>
      <w:r>
        <w:t>49.2 Business Tenant Separation</w:t>
      </w:r>
      <w:bookmarkEnd w:id="1018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Confirm the selected organization before every Business action. Membership in one organization never grants access to another; do not copy records between organizations to solve an access problem.</w:t>
      </w:r>
    </w:p>
    <w:p>
      <w:bookmarkStart w:id="1019" w:name="toc_20"/>
      <w:pPr>
        <w:pStyle w:val="Heading2"/>
      </w:pPr>
      <w:r>
        <w:t>49.3 Document Security and Protected Links</w:t>
      </w:r>
      <w:bookmarkEnd w:id="1019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Keep internal/source/unreleased files out of customer-visible storage and ordinary email. Use approved protected links, verify expiration/access behavior, and record release/delivery evidence.</w:t>
      </w:r>
    </w:p>
    <w:p>
      <w:bookmarkStart w:id="1020" w:name="toc_21"/>
      <w:pPr>
        <w:pStyle w:val="Heading2"/>
      </w:pPr>
      <w:r>
        <w:t>49.4 Passwords and Recovery</w:t>
      </w:r>
      <w:bookmarkEnd w:id="1020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Never ask for, learn, store, or set a customer password. Use the maintained recovery path and verified destination. Recovery does not bypass suspension, role, organization, or eligibility controls.</w:t>
      </w:r>
    </w:p>
    <w:p>
      <w:bookmarkStart w:id="1021" w:name="toc_22"/>
      <w:pPr>
        <w:pStyle w:val="Heading2"/>
      </w:pPr>
      <w:r>
        <w:t>49.5 Payment Information</w:t>
      </w:r>
      <w:bookmarkEnd w:id="1021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Use approved payment interfaces. Do not place full card/bank data in notes, messages, screenshots, or documents. Record provider-safe references and outcomes only.</w:t>
      </w:r>
    </w:p>
    <w:p>
      <w:bookmarkStart w:id="1022" w:name="toc_23"/>
      <w:pPr>
        <w:pStyle w:val="Heading2"/>
      </w:pPr>
      <w:r>
        <w:t>49.6 IDs and KBA</w:t>
      </w:r>
      <w:bookmarkEnd w:id="1022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Use identity evidence only for the authorized process. Do not retain unnecessary images/details, coach KBA, record answers, or copy identity data into general notes.</w:t>
      </w:r>
    </w:p>
    <w:p>
      <w:bookmarkStart w:id="1023" w:name="toc_24"/>
      <w:pPr>
        <w:pStyle w:val="Heading2"/>
      </w:pPr>
      <w:r>
        <w:t>49.7 Internal Notes</w:t>
      </w:r>
      <w:bookmarkEnd w:id="1023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Write factual, necessary, professional notes suitable for audit. Exclude speculation, diagnoses, unnecessary sensitive data, passwords, secrets, and customer-inappropriate internal shorthand.</w:t>
      </w:r>
    </w:p>
    <w:p>
      <w:bookmarkStart w:id="1024" w:name="toc_25"/>
      <w:pPr>
        <w:pStyle w:val="Heading2"/>
      </w:pPr>
      <w:r>
        <w:t>49.8 Admin, Business, and Customer Access</w:t>
      </w:r>
      <w:bookmarkEnd w:id="1024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Use your own authorized account, least privilege, and the correct portal/context. Never share sessions, impersonate a user, or use access from one role to satisfy another role’s task.</w:t>
      </w:r>
    </w:p>
    <w:p>
      <w:bookmarkStart w:id="1025" w:name="toc_26"/>
      <w:pPr>
        <w:pStyle w:val="Heading2"/>
      </w:pPr>
      <w:r>
        <w:t>49.9 Downloads and Emailing Documents</w:t>
      </w:r>
      <w:bookmarkEnd w:id="1025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Download only when required; protect the device and local file; remove temporary copies under policy. Email only an intentionally released eligible deliverable to an eligible recipient.</w:t>
      </w:r>
    </w:p>
    <w:p>
      <w:bookmarkStart w:id="1026" w:name="toc_27"/>
      <w:pPr>
        <w:pStyle w:val="Heading2"/>
      </w:pPr>
      <w:r>
        <w:t>49.10 Personal Devices</w:t>
      </w:r>
      <w:bookmarkEnd w:id="1026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Use approved, updated, locked devices and networks. Avoid shared/public devices and untrusted networks. Do not sync protected files into personal photo, cloud, messaging, or backup services.</w:t>
      </w:r>
    </w:p>
    <w:p>
      <w:bookmarkStart w:id="1027" w:name="toc_28"/>
      <w:pPr>
        <w:pStyle w:val="Heading2"/>
      </w:pPr>
      <w:r>
        <w:t>49.11 Screenshots and Training Data</w:t>
      </w:r>
      <w:bookmarkEnd w:id="1027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Use synthetic fixtures or complete redaction. Do not capture legitimate PII, IDs, documents, tokens, financial data, or private messages for training.</w:t>
      </w:r>
    </w:p>
    <w:p>
      <w:bookmarkStart w:id="1028" w:name="toc_29"/>
      <w:pPr>
        <w:pStyle w:val="Heading2"/>
      </w:pPr>
      <w:r>
        <w:t>49.12 Secrets</w:t>
      </w:r>
      <w:bookmarkEnd w:id="1028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Passwords, recovery links, API keys, tokens, signing secrets, and private configuration never belong in the handbook, screenshots, messages, tickets, or ordinary notes.</w:t>
      </w:r>
    </w:p>
    <w:p>
      <w:bookmarkStart w:id="1029" w:name="toc_30"/>
      <w:pPr>
        <w:pStyle w:val="Heading2"/>
      </w:pPr>
      <w:r>
        <w:t>49.13 Incident Escalation</w:t>
      </w:r>
      <w:bookmarkEnd w:id="1029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Stop the affected action, preserve evidence, limit further exposure, notify the authorized owner/security contact, and record factual scope and time. Do not independently investigate beyond authority or erase evidence.</w:t>
      </w:r>
    </w:p>
    <w:p>
      <w:bookmarkStart w:id="1030" w:name="toc_31"/>
      <w:pPr>
        <w:pStyle w:val="Heading1"/>
        <w:pageBreakBefore/>
      </w:pPr>
      <w:r>
        <w:t>Chapter 50 — Operational Assurance &amp; Handbook Control</w:t>
      </w:r>
      <w:bookmarkEnd w:id="1030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Purpose: perform this workflow from verified APS and assignment evidence while preserving legal, notarial, financial, privacy, and ordering-party boundaries.</w:t>
      </w:r>
    </w:p>
    <w:p>
      <w:pPr>
        <w:spacing w:after="120" w:line="293" w:lineRule="auto"/>
      </w:pPr>
      <w:r>
        <w:rPr>
          <w:rFonts w:ascii="Montserrat" w:hAnsi="Montserrat"/>
          <w:b/>
          <w:i w:val="0"/>
          <w:color w:val="161C4D"/>
          <w:sz w:val="19"/>
        </w:rPr>
        <w:t>YOU WILL LEARN TO</w:t>
      </w:r>
    </w:p>
    <w:p>
      <w:pPr>
        <w:pStyle w:val="ListBullet"/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Review the authoritative assignment, act within role, stop at blockers, communicate accurately, and leave a complete audit trail.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13002"/>
            <wp:docPr id="3" name="Picture 3" descr="Operational Assurance Loop with connected steps and decision g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30-assurance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3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ontserrat" w:hAnsi="Montserrat"/>
          <w:b w:val="0"/>
          <w:i/>
          <w:color w:val="6B6D78"/>
          <w:sz w:val="17"/>
        </w:rPr>
        <w:t>Operational Assurance Loop</w:t>
      </w:r>
    </w:p>
    <w:p>
      <w:bookmarkStart w:id="1031" w:name="toc_32"/>
      <w:pPr>
        <w:pStyle w:val="Heading2"/>
      </w:pPr>
      <w:r>
        <w:t>50.1 Pre-Action Checks</w:t>
      </w:r>
      <w:bookmarkEnd w:id="1031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Verify identity/context, exact request, organization, current state, authority, source/version, recipient, variables, attachments, gate readiness, prior attempts, and expected audit result before consequential action.</w:t>
      </w:r>
    </w:p>
    <w:p>
      <w:bookmarkStart w:id="1032" w:name="toc_33"/>
      <w:pPr>
        <w:pStyle w:val="Heading2"/>
      </w:pPr>
      <w:r>
        <w:t>50.2 Post-Action Verification</w:t>
      </w:r>
      <w:bookmarkEnd w:id="1032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Confirm actual outcome rather than button click: persisted state, delivery/provider evidence, Timeline/Communication Log, document visibility, financial record, Next Action, and absence of duplicate/unintended effects.</w:t>
      </w:r>
    </w:p>
    <w:p>
      <w:bookmarkStart w:id="1033" w:name="toc_34"/>
      <w:pPr>
        <w:pStyle w:val="Heading2"/>
      </w:pPr>
      <w:r>
        <w:t>50.3 Timeline and Audit Integrity</w:t>
      </w:r>
      <w:bookmarkEnd w:id="1033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Preserve truthful sequence, actor, source, time, decision, delivery result, and exception. Never rewrite history to make an outcome appear cleaner.</w:t>
      </w:r>
    </w:p>
    <w:p>
      <w:bookmarkStart w:id="1034" w:name="toc_35"/>
      <w:pPr>
        <w:pStyle w:val="Heading2"/>
      </w:pPr>
      <w:r>
        <w:t>50.4 Duplicate Prevention</w:t>
      </w:r>
      <w:bookmarkEnd w:id="1034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Search for prior request, message, invoice, payment attempt, refund, provider transaction, upload, or assignment. When uncertainty remains, stop and reconcile before creating another.</w:t>
      </w:r>
    </w:p>
    <w:p>
      <w:bookmarkStart w:id="1035" w:name="toc_36"/>
      <w:pPr>
        <w:pStyle w:val="Heading2"/>
      </w:pPr>
      <w:r>
        <w:t>50.5 End-of-Day Review</w:t>
      </w:r>
      <w:bookmarkEnd w:id="1035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Review open holds, failed deliveries, pending payments/refunds, unreleased documents, upcoming appointments, scanback/return obligations, Business credit issues, and exceptions. Assign a truthful Next Action and owner.</w:t>
      </w:r>
    </w:p>
    <w:p>
      <w:bookmarkStart w:id="1036" w:name="toc_37"/>
      <w:pPr>
        <w:pStyle w:val="Heading2"/>
      </w:pPr>
      <w:r>
        <w:t>50.6 Source Drift</w:t>
      </w:r>
      <w:bookmarkEnd w:id="1036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If APS behavior, labels, templates, scripts, provider rules, law, or maintained policy differ from this handbook, stop relying on the affected instruction, mark the discrepancy, and escalate source verification.</w:t>
      </w:r>
    </w:p>
    <w:p>
      <w:bookmarkStart w:id="1037" w:name="toc_38"/>
      <w:pPr>
        <w:pStyle w:val="Heading2"/>
      </w:pPr>
      <w:r>
        <w:t>50.7 Handbook Maintenance</w:t>
      </w:r>
      <w:bookmarkEnd w:id="1037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Change controlled source, not compiled artifacts alone. Preserve chapter, figure, screenshot, photograph, template/script inventory, source-register, build, QA, and revision-history materials.</w:t>
      </w:r>
    </w:p>
    <w:p>
      <w:bookmarkStart w:id="1038" w:name="toc_39"/>
      <w:pPr>
        <w:pStyle w:val="Heading2"/>
      </w:pPr>
      <w:r>
        <w:t>50.8 Legal and Provider Source Revalidation</w:t>
      </w:r>
      <w:bookmarkEnd w:id="1038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Revalidate time-sensitive legal/notarial, lender/title, payment, identity, and provider facts against authoritative current sources before controlled revision. Do not fill gaps with general knowledge.</w:t>
      </w:r>
    </w:p>
    <w:p>
      <w:bookmarkStart w:id="1039" w:name="toc_40"/>
      <w:pPr>
        <w:pStyle w:val="Heading2"/>
      </w:pPr>
      <w:r>
        <w:t>50.9 Controlled Revision and Owner Approval</w:t>
      </w:r>
      <w:bookmarkEnd w:id="1039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Record proposed change, authority, affected sections/assets, reviewer, tests, date, edition, and owner decision. Publish only approved, reproducible artifacts; preserve superseded history.</w:t>
      </w:r>
    </w:p>
    <w:p>
      <w:bookmarkStart w:id="1040" w:name="toc_41"/>
      <w:pPr>
        <w:pStyle w:val="Title"/>
      </w:pPr>
      <w:r>
        <w:t>PART XIII — QUICK REFERENCES &amp; APPENDICES</w:t>
      </w:r>
      <w:bookmarkEnd w:id="1040"/>
    </w:p>
    <w:p>
      <w:bookmarkStart w:id="1041" w:name="toc_42"/>
      <w:pPr>
        <w:pStyle w:val="Heading1"/>
        <w:pageBreakBefore/>
      </w:pPr>
      <w:r>
        <w:t>Chapter 51 — Admin, State, People, Documents &amp; Money Quick References</w:t>
      </w:r>
      <w:bookmarkEnd w:id="1041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Purpose: perform this workflow from verified APS and assignment evidence while preserving legal, notarial, financial, privacy, and ordering-party boundaries.</w:t>
      </w:r>
    </w:p>
    <w:p>
      <w:pPr>
        <w:spacing w:after="120" w:line="293" w:lineRule="auto"/>
      </w:pPr>
      <w:r>
        <w:rPr>
          <w:rFonts w:ascii="Montserrat" w:hAnsi="Montserrat"/>
          <w:b/>
          <w:i w:val="0"/>
          <w:color w:val="161C4D"/>
          <w:sz w:val="19"/>
        </w:rPr>
        <w:t>YOU WILL LEARN TO</w:t>
      </w:r>
    </w:p>
    <w:p>
      <w:pPr>
        <w:pStyle w:val="ListBullet"/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Review the authoritative assignment, act within role, stop at blockers, communicate accurately, and leave a complete audit trail.</w:t>
      </w:r>
    </w:p>
    <w:p>
      <w:bookmarkStart w:id="1042" w:name="toc_43"/>
      <w:pPr>
        <w:pStyle w:val="Heading2"/>
      </w:pPr>
      <w:r>
        <w:t>51.1 APS System Map</w:t>
      </w:r>
      <w:bookmarkEnd w:id="1042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Public site → request/intake → Admin review/workspace → Customer or Business Portal visibility → provider/payment channels where authorized → Timeline/audit. Confirm system, actor, organization, request, and permitted action before work.</w:t>
      </w:r>
    </w:p>
    <w:p>
      <w:bookmarkStart w:id="1043" w:name="toc_44"/>
      <w:pPr>
        <w:pStyle w:val="Heading2"/>
      </w:pPr>
      <w:r>
        <w:t>51.2 Universal Request Lifecycle</w:t>
      </w:r>
      <w:bookmarkEnd w:id="1043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Received → review → information/quote → approval/payment → appointment/production → fulfillment/QC → eligible release/delivery → completion. STOP at the first unmet gate.</w:t>
      </w:r>
    </w:p>
    <w:p>
      <w:bookmarkStart w:id="1044" w:name="toc_45"/>
      <w:pPr>
        <w:pStyle w:val="Heading2"/>
      </w:pPr>
      <w:r>
        <w:t>51.3 Where Do I Go in Admin?</w:t>
      </w:r>
      <w:bookmarkEnd w:id="1044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Review Queue for new/blocked review; request workspace for service work; Customers/Participants for identity/roles; Documents for classification/release; Communications for delivery truth; financial views for quote/invoice/payment/refund; Business areas for organization/member/billing controls.</w:t>
      </w:r>
    </w:p>
    <w:p>
      <w:bookmarkStart w:id="1045" w:name="toc_46"/>
      <w:pPr>
        <w:pStyle w:val="Heading2"/>
      </w:pPr>
      <w:r>
        <w:t>51.4 Request Workspace Tabs</w:t>
      </w:r>
      <w:bookmarkEnd w:id="1045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Overview: scope/state/Next Action. Participants: roles and contact eligibility. Documents: source/classification/review/release. Communications: rendered message/delivery. Timeline: audit sequence. Service/financial areas: only when the request and role authorize them.</w:t>
      </w:r>
    </w:p>
    <w:p>
      <w:bookmarkStart w:id="1046" w:name="toc_47"/>
      <w:pPr>
        <w:pStyle w:val="Heading2"/>
      </w:pPr>
      <w:r>
        <w:t>51.5 Review Queue Decision Guide</w:t>
      </w:r>
      <w:bookmarkEnd w:id="1046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Correct request and service? Required facts present? Participants/roles clear? Documents safe and classified? Quote/payment/appointment gates known? If NO, request/record the exact blocker. If YES, assign the truthful Next Action.</w:t>
      </w:r>
    </w:p>
    <w:p>
      <w:bookmarkStart w:id="1047" w:name="toc_48"/>
      <w:pPr>
        <w:pStyle w:val="Heading2"/>
      </w:pPr>
      <w:r>
        <w:t>51.6 State Mental Map</w:t>
      </w:r>
      <w:bookmarkEnd w:id="1047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Keep request status, Next Action, document state, communication delivery, financial state, appointment/fulfillment state, and provider state separate. One does not silently prove another.</w:t>
      </w:r>
    </w:p>
    <w:p>
      <w:bookmarkStart w:id="1048" w:name="toc_49"/>
      <w:pPr>
        <w:pStyle w:val="Heading2"/>
      </w:pPr>
      <w:r>
        <w:t>51.7 Loading vs Empty vs Error</w:t>
      </w:r>
      <w:bookmarkEnd w:id="1048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Loading: wait. Empty: verify filters/context. Error: do not infer; retry safely and escalate persistent failure. Never act from partial/stale data.</w:t>
      </w:r>
    </w:p>
    <w:p>
      <w:bookmarkStart w:id="1049" w:name="toc_50"/>
      <w:pPr>
        <w:pStyle w:val="Heading2"/>
      </w:pPr>
      <w:r>
        <w:t>51.8 Customer vs Signer vs Ordering Party</w:t>
      </w:r>
      <w:bookmarkEnd w:id="1049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Customer requests/pays or owns the relationship; signer/participant performs an act; ordering party controls an assignment. Verify who may receive which information and who may authorize change.</w:t>
      </w:r>
    </w:p>
    <w:p>
      <w:bookmarkStart w:id="1050" w:name="toc_51"/>
      <w:pPr>
        <w:pStyle w:val="Heading2"/>
      </w:pPr>
      <w:r>
        <w:t>51.9 Document Classification</w:t>
      </w:r>
      <w:bookmarkEnd w:id="1050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Identify request → source/creator → purpose → class → review state → release eligibility → recipient/scope. Five questions: what is it, whose is it, why retained, may customer see it, what proves release?</w:t>
      </w:r>
    </w:p>
    <w:p>
      <w:bookmarkStart w:id="1051" w:name="toc_52"/>
      <w:pPr>
        <w:pStyle w:val="Heading2"/>
      </w:pPr>
      <w:r>
        <w:t>51.10 Document Release Checklist</w:t>
      </w:r>
      <w:bookmarkEnd w:id="1051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Correct request and recipient; intended final file; classification permits release; review complete; no sensitive/internal/superseded content; exact filename; authorized release action; portal/email visibility checked; Timeline/delivery evidence recorded.</w:t>
      </w:r>
    </w:p>
    <w:p>
      <w:bookmarkStart w:id="1052" w:name="toc_53"/>
      <w:pPr>
        <w:pStyle w:val="Heading2"/>
      </w:pPr>
      <w:r>
        <w:t>51.11 Document Mistake Recovery</w:t>
      </w:r>
      <w:bookmarkEnd w:id="1052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Stop release → preserve evidence → identify file/request/recipients/scope → restrict further access where authorized → notify owner/security → prepare verified correction → record recovery. Never delete history or conceal exposure.</w:t>
      </w:r>
    </w:p>
    <w:p>
      <w:bookmarkStart w:id="1053" w:name="toc_54"/>
      <w:pPr>
        <w:pStyle w:val="Heading2"/>
      </w:pPr>
      <w:r>
        <w:t>51.12 Quote vs Invoice vs Payment vs Receipt</w:t>
      </w:r>
      <w:bookmarkEnd w:id="1053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Quote proposes scope/price. Invoice states amount due. Payment is provider/ledger outcome. Receipt confirms an actual payment. Never use one as proof of another.</w:t>
      </w:r>
    </w:p>
    <w:p>
      <w:bookmarkStart w:id="1054" w:name="toc_55"/>
      <w:pPr>
        <w:pStyle w:val="Heading2"/>
      </w:pPr>
      <w:r>
        <w:t>51.13 Send vs Send &amp; Update Status</w:t>
      </w:r>
      <w:bookmarkEnd w:id="1054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Send records communication only. Send &amp; Update Status is used only for a maintained authorized transition after successful delivery. Verify rendered message, recipient, attachments, delivery, transition, and audit result.</w:t>
      </w:r>
    </w:p>
    <w:p>
      <w:bookmarkStart w:id="1055" w:name="toc_56"/>
      <w:pPr>
        <w:pStyle w:val="Heading1"/>
        <w:pageBreakBefore/>
      </w:pPr>
      <w:r>
        <w:t>Chapter 52 — Service Quick References</w:t>
      </w:r>
      <w:bookmarkEnd w:id="1055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Purpose: perform this workflow from verified APS and assignment evidence while preserving legal, notarial, financial, privacy, and ordering-party boundaries.</w:t>
      </w:r>
    </w:p>
    <w:p>
      <w:pPr>
        <w:spacing w:after="120" w:line="293" w:lineRule="auto"/>
      </w:pPr>
      <w:r>
        <w:rPr>
          <w:rFonts w:ascii="Montserrat" w:hAnsi="Montserrat"/>
          <w:b/>
          <w:i w:val="0"/>
          <w:color w:val="161C4D"/>
          <w:sz w:val="19"/>
        </w:rPr>
        <w:t>YOU WILL LEARN TO</w:t>
      </w:r>
    </w:p>
    <w:p>
      <w:pPr>
        <w:pStyle w:val="ListBullet"/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Review the authoritative assignment, act within role, stop at blockers, communicate accurately, and leave a complete audit trail.</w:t>
      </w:r>
    </w:p>
    <w:p>
      <w:bookmarkStart w:id="1056" w:name="toc_57"/>
      <w:pPr>
        <w:pStyle w:val="Heading2"/>
      </w:pPr>
      <w:r>
        <w:t>52.1 Remote Online Notarization Quick References</w:t>
      </w:r>
      <w:bookmarkEnd w:id="1056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Quote readiness: service/document/jurisdiction, signers, timing, platform, copies, price/payment. Appointment: signer/contact, technology, ID/readiness, document, Proof path. Session: identity/willingness/awareness, act/certificate, recording/provider controls. Closeout: completed Proof/notarized asset reviewed, correct request/classification, intentionally released, delivery verified. Failure: preserve transaction, no KBA coaching, retry only supported path, assess lawful alternative.</w:t>
      </w:r>
    </w:p>
    <w:p>
      <w:bookmarkStart w:id="1057" w:name="toc_58"/>
      <w:pPr>
        <w:pStyle w:val="Heading2"/>
      </w:pPr>
      <w:r>
        <w:t>52.2 Mobile Notary Quick References</w:t>
      </w:r>
      <w:bookmarkEnd w:id="1057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Quote readiness: acts/signers/documents, location, round-trip mileage/tier, timing/after-hours, witnesses, scan/delivery. Before leaving: payment/appointment, route/safety, supplies, journal, instructions. At table: identity/willingness/awareness, act/certificate, signatures, journal, counts. Before driving away: every certificate/document/accounting item checked. Optional scan: authority, completeness, legibility, naming, upload/release. Closeout: delivery, final charges, Timeline. Stop for safety, identity, coercion, incomplete documents, or unsupported act.</w:t>
      </w:r>
    </w:p>
    <w:p>
      <w:bookmarkStart w:id="1058" w:name="toc_59"/>
      <w:pPr>
        <w:pStyle w:val="Heading2"/>
      </w:pPr>
      <w:r>
        <w:t>52.3 Print &amp; Scan Quick References</w:t>
      </w:r>
      <w:bookmarkEnd w:id="1058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Quote readiness: authoritative page count, B&amp;W/color, copies, paper, sidedness, finishing, scan/PDF support, timing/delivery. Production: active source/version and payment gate. First-copy QC: count/order/orientation/color/legibility/crop/scale. Scan QC: every page, order, orientation, readability, completeness. Naming/integrity: request-safe name, final format, open/check file. Delivery: exact eligible output and recipient. Closeout: production/delivery evidence and completion gates.</w:t>
      </w:r>
    </w:p>
    <w:p>
      <w:bookmarkStart w:id="1059" w:name="toc_60"/>
      <w:pPr>
        <w:pStyle w:val="Heading2"/>
      </w:pPr>
      <w:r>
        <w:t>52.4 Loan Signing Quick References</w:t>
      </w:r>
      <w:bookmarkEnd w:id="1059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Mental map: assignment/orderer/signer/package/version/appointment/scanback/approval/return/financial closeout. Packages: Buyer, Seller, Refinance, HELOC, Modification, Reverse Mortgage, Commercial/Custom. COMMONLY NOTARIZED DOES NOT MEAN ALWAYS NOTARIZE; actual document, certificate, law, and authorized instructions control. Ten gates: Assignment Review; Pricing/Financial; Package; Print/QC; Appointment; Signing; Scanback/Approval; Return; Exception/Financial; Final Completion. Print/prep and before leaving: active version, sets/copies, page count, instructions, signers, route, label. Table: neutral presentation, signatures/initials/dates, certificates, referral boundaries. Post-table/scanback: complete count/QC. Return only after required approval with label/destination/tracking. Preserve package and escalate exceptions; close only when all gates agree.</w:t>
      </w:r>
    </w:p>
    <w:p>
      <w:bookmarkStart w:id="1060" w:name="toc_61"/>
      <w:pPr>
        <w:pStyle w:val="Heading2"/>
      </w:pPr>
      <w:r>
        <w:t>52.5 Business Account Quick References</w:t>
      </w:r>
      <w:bookmarkEnd w:id="1060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Lifecycle: application → review → approval → organization → invitation/activation → authenticated role → eligible requests/billing → hold/suspension/closure with history preserved. Verify organization switch before every action. Roles never transfer across tenants. Billing: prepaid or authorized Due on Receipt/Net 15/Net 30. Credit hold blocks credit-dependent work; it does not erase records or silently cancel work. Closure requires open operational/financial matters resolved and history preserved.</w:t>
      </w:r>
    </w:p>
    <w:p>
      <w:bookmarkStart w:id="1061" w:name="toc_62"/>
      <w:pPr>
        <w:pStyle w:val="Heading1"/>
        <w:pageBreakBefore/>
      </w:pPr>
      <w:r>
        <w:t>Chapter 53 — Communication, Safety &amp; Reference Indexes</w:t>
      </w:r>
      <w:bookmarkEnd w:id="1061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Purpose: perform this workflow from verified APS and assignment evidence while preserving legal, notarial, financial, privacy, and ordering-party boundaries.</w:t>
      </w:r>
    </w:p>
    <w:p>
      <w:pPr>
        <w:spacing w:after="120" w:line="293" w:lineRule="auto"/>
      </w:pPr>
      <w:r>
        <w:rPr>
          <w:rFonts w:ascii="Montserrat" w:hAnsi="Montserrat"/>
          <w:b/>
          <w:i w:val="0"/>
          <w:color w:val="161C4D"/>
          <w:sz w:val="19"/>
        </w:rPr>
        <w:t>YOU WILL LEARN TO</w:t>
      </w:r>
    </w:p>
    <w:p>
      <w:pPr>
        <w:pStyle w:val="ListBullet"/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Review the authoritative assignment, act within role, stop at blockers, communicate accurately, and leave a complete audit trail.</w:t>
      </w:r>
    </w:p>
    <w:p>
      <w:bookmarkStart w:id="1062" w:name="toc_63"/>
      <w:pPr>
        <w:pStyle w:val="Heading2"/>
      </w:pPr>
      <w:r>
        <w:t>53.1 Which Message Do I Send Now?</w:t>
      </w:r>
      <w:bookmarkEnd w:id="1062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1958"/>
            <w:vAlign w:val="center"/>
            <w:shd w:fill="161C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Service/stage</w:t>
            </w:r>
          </w:p>
        </w:tc>
        <w:tc>
          <w:tcPr>
            <w:tcW w:type="dxa" w:w="1958"/>
            <w:vAlign w:val="center"/>
            <w:shd w:fill="161C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Condition</w:t>
            </w:r>
          </w:p>
        </w:tc>
        <w:tc>
          <w:tcPr>
            <w:tcW w:type="dxa" w:w="1958"/>
            <w:vAlign w:val="center"/>
            <w:shd w:fill="161C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Maintained message family</w:t>
            </w:r>
          </w:p>
        </w:tc>
        <w:tc>
          <w:tcPr>
            <w:tcW w:type="dxa" w:w="1958"/>
            <w:vAlign w:val="center"/>
            <w:shd w:fill="161C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Classification</w:t>
            </w:r>
          </w:p>
        </w:tc>
        <w:tc>
          <w:tcPr>
            <w:tcW w:type="dxa" w:w="1958"/>
            <w:vAlign w:val="center"/>
            <w:shd w:fill="161C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Do not send if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Any / intake-review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received or exact information missing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Request Received / information-needed template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IF NEEDED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wrong recipient, stale request, missing variables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Any / quote-payment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quote ready, invoice, payment outcome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Quote Ready / Invoice / Payment template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IF NEEDED or verified event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scope/version/payment evidence conflicts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RON/Mobile/Print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readiness, appointment, delivery, completion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service-specific maintained template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IF NEEDED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gate not satisfied or file unreleased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Loan Signing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assignment, package, signer, scanback, return, exception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`lsa_` maintained family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IF NEEDED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orderer/signer audience or authoritative stage unclear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Business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billing, password recovery, credit hold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`business_` maintained family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IF NEEDED or source-noted event</w:t>
            </w:r>
          </w:p>
        </w:tc>
        <w:tc>
          <w:tcPr>
            <w:tcW w:type="dxa" w:w="1958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organization/recipient/terms not verified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Any / reminder-review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maintained timed event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reminder/review family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SOURCE-NOTED</w:t>
            </w:r>
          </w:p>
        </w:tc>
        <w:tc>
          <w:tcPr>
            <w:tcW w:type="dxa" w:w="1958"/>
            <w:vAlign w:val="center"/>
            <w:shd w:fill="F6F3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ontserrat" w:hAnsi="Montserrat"/>
                <w:b w:val="0"/>
                <w:i w:val="0"/>
                <w:color w:val="2D2D2D"/>
                <w:sz w:val="16"/>
              </w:rPr>
              <w:t>current automation/event timing not verified</w:t>
            </w:r>
          </w:p>
        </w:tc>
      </w:tr>
    </w:tbl>
    <w:p/>
    <w:p>
      <w:bookmarkStart w:id="1063" w:name="toc_64"/>
      <w:pPr>
        <w:pStyle w:val="Heading2"/>
      </w:pPr>
      <w:r>
        <w:t>53.2 Template Quick Index</w:t>
      </w:r>
      <w:bookmarkEnd w:id="1063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Use Chapter 46’s 54-key directory by service, category, stage/trigger, audience, and alphabet. Template existence is not proof of automation. Verify actual condition, recipient, variables, attachment/release, channel, prior attempts, delivery evidence, and status effect.</w:t>
      </w:r>
    </w:p>
    <w:p>
      <w:bookmarkStart w:id="1064" w:name="toc_65"/>
      <w:pPr>
        <w:pStyle w:val="Heading2"/>
      </w:pPr>
      <w:r>
        <w:t>53.3 Script and Card Quick Index</w:t>
      </w:r>
      <w:bookmarkEnd w:id="1064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Use Chapter 47’s 48-entry catalog by service, category, stage, and classification. Scripts guide the operator; they do not change the request, send communication, move money, release documents, or create provider activity.</w:t>
      </w:r>
    </w:p>
    <w:p>
      <w:bookmarkStart w:id="1065" w:name="toc_66"/>
      <w:pPr>
        <w:pStyle w:val="Heading2"/>
      </w:pPr>
      <w:r>
        <w:t>53.4 Security Checklist</w:t>
      </w:r>
      <w:bookmarkEnd w:id="1065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Correct account/portal/organization/request; least access; protected device/network; recipient and release authority; no secrets/passwords/KBA answers; approved channel; minimum necessary data; safe local handling; post-action access/delivery verified; incident escalated.</w:t>
      </w:r>
    </w:p>
    <w:p>
      <w:bookmarkStart w:id="1066" w:name="toc_67"/>
      <w:pPr>
        <w:pStyle w:val="Heading2"/>
      </w:pPr>
      <w:r>
        <w:t>53.5 Stop, Hold, and Escalate Guide</w:t>
      </w:r>
      <w:bookmarkEnd w:id="1066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STOP the action for identity, willingness, awareness, safety, suspected fraud/coercion, unlawful/unsupported act, wrong recipient/request, unreleased document, uncertain money movement, duplicate risk, or missing authority. HOLD the affected gate while facts can be resolved. ESCALATE persistent conflict, exposure, misconduct, provider/legal uncertainty, or any action beyond role.</w:t>
      </w:r>
    </w:p>
    <w:p>
      <w:bookmarkStart w:id="1067" w:name="toc_68"/>
      <w:pPr>
        <w:pStyle w:val="Heading2"/>
      </w:pPr>
      <w:r>
        <w:t>53.6 Daily Opening and End-of-Day</w:t>
      </w:r>
      <w:bookmarkEnd w:id="1067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Opening: secure session/device; correct date/time; review appointments, queues, holds, failed deliveries, provider/financial exceptions; confirm supplies and assigned priorities. End-of-day: reconcile open requests, documents, messages, payments/refunds, appointments, scanbacks/returns, Business holds, exceptions, Timeline, Next Action, and responsible owner; secure materials and sign out.</w:t>
      </w:r>
    </w:p>
    <w:p>
      <w:bookmarkStart w:id="1068" w:name="toc_69"/>
      <w:pPr>
        <w:pStyle w:val="Heading2"/>
      </w:pPr>
      <w:r>
        <w:t>53.7 Independent Print and Lamination Controls</w:t>
      </w:r>
      <w:bookmarkEnd w:id="1068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Every Quick Reference carries its title, governing chapter, edition/baseline, scope, stop rule, and reminder that the detailed chapter controls. Reprint after controlled revision; remove superseded copies.</w:t>
      </w:r>
    </w:p>
    <w:p>
      <w:bookmarkStart w:id="1069" w:name="toc_70"/>
      <w:pPr>
        <w:pStyle w:val="Title"/>
        <w:pageBreakBefore/>
      </w:pPr>
      <w:r>
        <w:t>APPENDICES</w:t>
      </w:r>
      <w:bookmarkEnd w:id="1069"/>
    </w:p>
    <w:p>
      <w:bookmarkStart w:id="1070" w:name="toc_71"/>
      <w:pPr>
        <w:pStyle w:val="Heading1"/>
      </w:pPr>
      <w:r>
        <w:t>Appendix A — Glossary and Acronyms</w:t>
      </w:r>
      <w:bookmarkEnd w:id="1070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APS: Aligned Print &amp; Scan. Gate: required conditions before advancement. Next Action: truthful controlled work item. Ordering party: assignment authority distinct from signer. Released deliverable: customer-eligible file intentionally authorized for visibility. RON: Remote Online Notarization. KBA: knowledge-based authentication controlled by the provider. Scanback: governed electronic copy submitted for review. SOURCE VERIFICATION REQUIRED: material statement withheld from authority until verified.</w:t>
      </w:r>
    </w:p>
    <w:p>
      <w:bookmarkStart w:id="1071" w:name="toc_72"/>
      <w:pPr>
        <w:pStyle w:val="Heading1"/>
      </w:pPr>
      <w:r>
        <w:t>Appendix B — Status and State Catalog</w:t>
      </w:r>
      <w:bookmarkEnd w:id="1071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Request, Next Action, document, communication, financial, appointment, fulfillment, Business organization/member, and provider states are independent controlled dimensions. Use the current APS label and governing chapter; never infer one state from another.</w:t>
      </w:r>
    </w:p>
    <w:p>
      <w:bookmarkStart w:id="1072" w:name="toc_73"/>
      <w:pPr>
        <w:pStyle w:val="Heading1"/>
      </w:pPr>
      <w:r>
        <w:t>Appendix C — Template Index and Production Reconciliation</w:t>
      </w:r>
      <w:bookmarkEnd w:id="1072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Authoritative inventory: 54 unique maintained production keys documented in Chapter 46. Three preview aliases are reconciled and not double-counted. Timing-sensitive automation claims remain source-noted until current implementation proves the event.</w:t>
      </w:r>
    </w:p>
    <w:p>
      <w:bookmarkStart w:id="1073" w:name="toc_74"/>
      <w:pPr>
        <w:pStyle w:val="Heading1"/>
      </w:pPr>
      <w:r>
        <w:t>Appendix D — Script and Card Index</w:t>
      </w:r>
      <w:bookmarkEnd w:id="1073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Authoritative inventory: 48 maintained entries across eight categories documented in Chapter 47. Each is reference-only and classified as Full Script, Quick-Flip/Quick Reference, Checklist, or Decision/Stop Card.</w:t>
      </w:r>
    </w:p>
    <w:p>
      <w:bookmarkStart w:id="1074" w:name="toc_75"/>
      <w:pPr>
        <w:pStyle w:val="Heading1"/>
      </w:pPr>
      <w:r>
        <w:t>Appendix E — Package Comparison</w:t>
      </w:r>
      <w:bookmarkEnd w:id="1074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Buyer/Purchase, Seller, Refinance, HELOC, Loan Modification, Reverse Mortgage, and Commercial/Custom are compared in Chapter 30. Actual package and instructions control; package label never substitutes for document/version review.</w:t>
      </w:r>
    </w:p>
    <w:p>
      <w:bookmarkStart w:id="1075" w:name="toc_76"/>
      <w:pPr>
        <w:pStyle w:val="Heading1"/>
      </w:pPr>
      <w:r>
        <w:t>Appendix F — Loan Document Source Register</w:t>
      </w:r>
      <w:bookmarkEnd w:id="1075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Chapter 31 and `batch-3/LOAN_DOCUMENT_SOURCE_REGISTER.md` govern the common-document entries and unresolved source notes. Commonly notarized never means always notarize.</w:t>
      </w:r>
    </w:p>
    <w:p>
      <w:bookmarkStart w:id="1076" w:name="toc_77"/>
      <w:pPr>
        <w:pStyle w:val="Heading1"/>
      </w:pPr>
      <w:r>
        <w:t>Appendix G — Figure, Table, Procedure, Checklist, and Decision Tree Index</w:t>
      </w:r>
      <w:bookmarkEnd w:id="1076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The final assembly generates controlled lists from captions and headings. Batch figures retain stable numbers and descriptive captions; procedures, checklists, and decision trees link to their governing chapters.</w:t>
      </w:r>
    </w:p>
    <w:p>
      <w:bookmarkStart w:id="1077" w:name="toc_78"/>
      <w:pPr>
        <w:pStyle w:val="Heading1"/>
      </w:pPr>
      <w:r>
        <w:t>Appendix H — Source Authority and Traceability</w:t>
      </w:r>
      <w:bookmarkEnd w:id="1077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Authority order: certified Release 10 behavior; current repository source/configuration/schema; Release 10 certification; maintained APS documentation/training; authoritative Texas sources; legally available maintained signing-agent training; authoritative provider and lender/title/agency material. A lower source never silently overrides a higher current authority.</w:t>
      </w:r>
    </w:p>
    <w:p>
      <w:bookmarkStart w:id="1078" w:name="toc_79"/>
      <w:pPr>
        <w:pStyle w:val="Heading1"/>
      </w:pPr>
      <w:r>
        <w:t>Appendix I — Revision History and Owner Approval</w:t>
      </w:r>
      <w:bookmarkEnd w:id="1078"/>
    </w:p>
    <w:p>
      <w:pPr>
        <w:spacing w:after="120" w:line="293" w:lineRule="auto"/>
      </w:pPr>
      <w:r>
        <w:rPr>
          <w:rFonts w:ascii="Montserrat" w:hAnsi="Montserrat"/>
          <w:b w:val="0"/>
          <w:i w:val="0"/>
          <w:color w:val="2D2D2D"/>
          <w:sz w:val="21"/>
        </w:rPr>
        <w:t>Specification: OWNER APPROVED — LOCKED, PR #107. Batch 1: PRs #108–109. Batches 2–5 and final assembly retain branch, commit, PR, merge, QA, source notes, and owner-authorized publication evidence. Release 11 is outside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/>
        <w:b w:val="0"/>
        <w:i w:val="0"/>
        <w:color w:val="6B6D78"/>
        <w:sz w:val="16"/>
      </w:rPr>
      <w:t>Release 10 Certified Operations Edition  ·  BATCH 5 · PARTS XII–XIII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ontserrat" w:hAnsi="Montserrat"/>
        <w:b/>
        <w:i w:val="0"/>
        <w:color w:val="6B6D78"/>
        <w:sz w:val="16"/>
      </w:rPr>
      <w:t>ALIGNED PRINT &amp; SCAN  |  OPERATOR HANDBOOK · BATCH 5 · PARTS XII–XIII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ontserrat" w:hAnsi="Montserrat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layfair Display" w:hAnsi="Playfair Display"/>
      <w:b/>
      <w:bCs/>
      <w:color w:val="161C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Playfair Display" w:hAnsi="Playfair Display"/>
      <w:b/>
      <w:bCs/>
      <w:color w:val="161C4D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ontserrat" w:hAnsi="Montserrat"/>
      <w:b/>
      <w:bCs/>
      <w:color w:val="161C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APS Operator Handbook — Batch 5 Parts XII–XIII</dc:title>
  <dc:subject/>
  <dc:creator>Aligned Print &amp; Scan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