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ontserrat" w:hAnsi="Montserrat"/>
          <w:b/>
          <w:i w:val="0"/>
          <w:color w:val="C8A96B"/>
          <w:sz w:val="26"/>
        </w:rPr>
        <w:t>ALIGNED PRINT &amp; SCAN</w:t>
      </w:r>
    </w:p>
    <w:p>
      <w:pPr>
        <w:jc w:val="center"/>
      </w:pPr>
      <w:r>
        <w:rPr>
          <w:rFonts w:ascii="Playfair Display" w:hAnsi="Playfair Display"/>
          <w:b/>
          <w:i w:val="0"/>
          <w:color w:val="161C4D"/>
          <w:sz w:val="68"/>
        </w:rPr>
        <w:t>OPERATOR</w:t>
        <w:br/>
        <w:t>HANDBOOK</w:t>
      </w:r>
    </w:p>
    <w:p>
      <w:pPr>
        <w:jc w:val="center"/>
      </w:pPr>
      <w:r>
        <w:rPr>
          <w:rFonts w:ascii="Montserrat" w:hAnsi="Montserrat"/>
          <w:b/>
          <w:i w:val="0"/>
          <w:color w:val="6B6D78"/>
          <w:sz w:val="28"/>
        </w:rPr>
        <w:t>Release 10 Certified Operations Edition</w:t>
      </w:r>
    </w:p>
    <w:p>
      <w:pPr>
        <w:spacing w:before="1100"/>
        <w:jc w:val="center"/>
      </w:pPr>
      <w:r>
        <w:rPr>
          <w:rFonts w:ascii="Montserrat" w:hAnsi="Montserrat"/>
          <w:b/>
          <w:i w:val="0"/>
          <w:color w:val="C8A96B"/>
          <w:sz w:val="20"/>
        </w:rPr>
        <w:t>BATCH 2  |  PARTS V–VIII  |  CHAPTERS 15–28</w:t>
      </w:r>
    </w:p>
    <w:p>
      <w:r>
        <w:br w:type="page"/>
      </w:r>
    </w:p>
    <w:p>
      <w:pPr>
        <w:pStyle w:val="Title"/>
      </w:pPr>
      <w:r>
        <w:t>Contents</w:t>
      </w:r>
    </w:p>
    <w:p>
      <w:pPr>
        <w:spacing w:after="120" w:line="293" w:lineRule="auto"/>
      </w:pPr>
      <w:r>
        <w:rPr>
          <w:rFonts w:ascii="Montserrat" w:hAnsi="Montserrat"/>
          <w:b w:val="0"/>
          <w:i w:val="0"/>
          <w:color w:val="2D2D2D"/>
          <w:sz w:val="21"/>
        </w:rPr>
        <w:t>Each entry links to the controlled Part, Chapter, or numbered subsection in this Batch 2 publication.</w:t>
      </w:r>
    </w:p>
    <w:p>
      <w:pPr>
        <w:spacing w:after="40"/>
        <w:ind w:left="0"/>
      </w:pPr>
      <w:hyperlink w:anchor="toc_1" w:history="1">
        <w:r>
          <w:rPr>
            <w:color w:val="161C4D"/>
            <w:u w:val="single"/>
          </w:rPr>
          <w:t>PART V — QUOTES, INVOICES &amp; MONEY</w:t>
        </w:r>
      </w:hyperlink>
    </w:p>
    <w:p>
      <w:pPr>
        <w:spacing w:after="40"/>
        <w:ind w:left="288"/>
      </w:pPr>
      <w:hyperlink w:anchor="toc_2" w:history="1">
        <w:r>
          <w:rPr>
            <w:color w:val="161C4D"/>
            <w:u w:val="single"/>
          </w:rPr>
          <w:t>Chapter 15 — From Estimate to Approved Quote</w:t>
        </w:r>
      </w:hyperlink>
    </w:p>
    <w:p>
      <w:pPr>
        <w:spacing w:after="40"/>
        <w:ind w:left="648"/>
      </w:pPr>
      <w:hyperlink w:anchor="toc_3" w:history="1">
        <w:r>
          <w:rPr>
            <w:color w:val="161C4D"/>
            <w:u w:val="single"/>
          </w:rPr>
          <w:t>15.1 Estimate Versus Quote</w:t>
        </w:r>
      </w:hyperlink>
    </w:p>
    <w:p>
      <w:pPr>
        <w:spacing w:after="40"/>
        <w:ind w:left="648"/>
      </w:pPr>
      <w:hyperlink w:anchor="toc_4" w:history="1">
        <w:r>
          <w:rPr>
            <w:color w:val="161C4D"/>
            <w:u w:val="single"/>
          </w:rPr>
          <w:t>15.2 Facts Required Before Quoting</w:t>
        </w:r>
      </w:hyperlink>
    </w:p>
    <w:p>
      <w:pPr>
        <w:spacing w:after="40"/>
        <w:ind w:left="648"/>
      </w:pPr>
      <w:hyperlink w:anchor="toc_5" w:history="1">
        <w:r>
          <w:rPr>
            <w:color w:val="161C4D"/>
            <w:u w:val="single"/>
          </w:rPr>
          <w:t>15.3 Service-Specific Quote Worksheets</w:t>
        </w:r>
      </w:hyperlink>
    </w:p>
    <w:p>
      <w:pPr>
        <w:spacing w:after="40"/>
        <w:ind w:left="648"/>
      </w:pPr>
      <w:hyperlink w:anchor="toc_6" w:history="1">
        <w:r>
          <w:rPr>
            <w:color w:val="161C4D"/>
            <w:u w:val="single"/>
          </w:rPr>
          <w:t>15.4 Build and Review in Admin</w:t>
        </w:r>
      </w:hyperlink>
    </w:p>
    <w:p>
      <w:pPr>
        <w:spacing w:after="40"/>
        <w:ind w:left="648"/>
      </w:pPr>
      <w:hyperlink w:anchor="toc_7" w:history="1">
        <w:r>
          <w:rPr>
            <w:color w:val="161C4D"/>
            <w:u w:val="single"/>
          </w:rPr>
          <w:t>15.5 Quote Version and Revision</w:t>
        </w:r>
      </w:hyperlink>
    </w:p>
    <w:p>
      <w:pPr>
        <w:spacing w:after="40"/>
        <w:ind w:left="648"/>
      </w:pPr>
      <w:hyperlink w:anchor="toc_8" w:history="1">
        <w:r>
          <w:rPr>
            <w:color w:val="161C4D"/>
            <w:u w:val="single"/>
          </w:rPr>
          <w:t>15.6 Sending and Customer/Orderer Approval</w:t>
        </w:r>
      </w:hyperlink>
    </w:p>
    <w:p>
      <w:pPr>
        <w:spacing w:after="40"/>
        <w:ind w:left="648"/>
      </w:pPr>
      <w:hyperlink w:anchor="toc_9" w:history="1">
        <w:r>
          <w:rPr>
            <w:color w:val="161C4D"/>
            <w:u w:val="single"/>
          </w:rPr>
          <w:t>15.7 What Blocks a Quote</w:t>
        </w:r>
      </w:hyperlink>
    </w:p>
    <w:p>
      <w:pPr>
        <w:spacing w:after="40"/>
        <w:ind w:left="648"/>
      </w:pPr>
      <w:hyperlink w:anchor="toc_10" w:history="1">
        <w:r>
          <w:rPr>
            <w:color w:val="161C4D"/>
            <w:u w:val="single"/>
          </w:rPr>
          <w:t>15.8 Quote Audit and History</w:t>
        </w:r>
      </w:hyperlink>
    </w:p>
    <w:p>
      <w:pPr>
        <w:spacing w:after="40"/>
        <w:ind w:left="288"/>
      </w:pPr>
      <w:hyperlink w:anchor="toc_11" w:history="1">
        <w:r>
          <w:rPr>
            <w:color w:val="161C4D"/>
            <w:u w:val="single"/>
          </w:rPr>
          <w:t>Chapter 16 — Invoice, Payment &amp; Receipt</w:t>
        </w:r>
      </w:hyperlink>
    </w:p>
    <w:p>
      <w:pPr>
        <w:spacing w:after="40"/>
        <w:ind w:left="648"/>
      </w:pPr>
      <w:hyperlink w:anchor="toc_12" w:history="1">
        <w:r>
          <w:rPr>
            <w:color w:val="161C4D"/>
            <w:u w:val="single"/>
          </w:rPr>
          <w:t>16.1 Quote → Invoice → Payment → Receipt</w:t>
        </w:r>
      </w:hyperlink>
    </w:p>
    <w:p>
      <w:pPr>
        <w:spacing w:after="40"/>
        <w:ind w:left="648"/>
      </w:pPr>
      <w:hyperlink w:anchor="toc_13" w:history="1">
        <w:r>
          <w:rPr>
            <w:color w:val="161C4D"/>
            <w:u w:val="single"/>
          </w:rPr>
          <w:t>16.2 Invoice #1</w:t>
        </w:r>
      </w:hyperlink>
    </w:p>
    <w:p>
      <w:pPr>
        <w:spacing w:after="40"/>
        <w:ind w:left="648"/>
      </w:pPr>
      <w:hyperlink w:anchor="toc_14" w:history="1">
        <w:r>
          <w:rPr>
            <w:color w:val="161C4D"/>
            <w:u w:val="single"/>
          </w:rPr>
          <w:t>16.3 Supplemental/Final Invoice #2</w:t>
        </w:r>
      </w:hyperlink>
    </w:p>
    <w:p>
      <w:pPr>
        <w:spacing w:after="40"/>
        <w:ind w:left="648"/>
      </w:pPr>
      <w:hyperlink w:anchor="toc_15" w:history="1">
        <w:r>
          <w:rPr>
            <w:color w:val="161C4D"/>
            <w:u w:val="single"/>
          </w:rPr>
          <w:t>16.4 Card and ACH</w:t>
        </w:r>
      </w:hyperlink>
    </w:p>
    <w:p>
      <w:pPr>
        <w:spacing w:after="40"/>
        <w:ind w:left="648"/>
      </w:pPr>
      <w:hyperlink w:anchor="toc_16" w:history="1">
        <w:r>
          <w:rPr>
            <w:color w:val="161C4D"/>
            <w:u w:val="single"/>
          </w:rPr>
          <w:t>16.5 Pending Versus Paid</w:t>
        </w:r>
      </w:hyperlink>
    </w:p>
    <w:p>
      <w:pPr>
        <w:spacing w:after="40"/>
        <w:ind w:left="648"/>
      </w:pPr>
      <w:hyperlink w:anchor="toc_17" w:history="1">
        <w:r>
          <w:rPr>
            <w:color w:val="161C4D"/>
            <w:u w:val="single"/>
          </w:rPr>
          <w:t>16.6 Partial Payment</w:t>
        </w:r>
      </w:hyperlink>
    </w:p>
    <w:p>
      <w:pPr>
        <w:spacing w:after="40"/>
        <w:ind w:left="648"/>
      </w:pPr>
      <w:hyperlink w:anchor="toc_18" w:history="1">
        <w:r>
          <w:rPr>
            <w:color w:val="161C4D"/>
            <w:u w:val="single"/>
          </w:rPr>
          <w:t>16.7 Authorized Offline and TEST Payment</w:t>
        </w:r>
      </w:hyperlink>
    </w:p>
    <w:p>
      <w:pPr>
        <w:spacing w:after="40"/>
        <w:ind w:left="648"/>
      </w:pPr>
      <w:hyperlink w:anchor="toc_19" w:history="1">
        <w:r>
          <w:rPr>
            <w:color w:val="161C4D"/>
            <w:u w:val="single"/>
          </w:rPr>
          <w:t>16.8 Receipt</w:t>
        </w:r>
      </w:hyperlink>
    </w:p>
    <w:p>
      <w:pPr>
        <w:spacing w:after="40"/>
        <w:ind w:left="648"/>
      </w:pPr>
      <w:hyperlink w:anchor="toc_20" w:history="1">
        <w:r>
          <w:rPr>
            <w:color w:val="161C4D"/>
            <w:u w:val="single"/>
          </w:rPr>
          <w:t>16.9 Reconciliation and Duplicate Prevention</w:t>
        </w:r>
      </w:hyperlink>
    </w:p>
    <w:p>
      <w:pPr>
        <w:spacing w:after="40"/>
        <w:ind w:left="648"/>
      </w:pPr>
      <w:hyperlink w:anchor="toc_21" w:history="1">
        <w:r>
          <w:rPr>
            <w:color w:val="161C4D"/>
            <w:u w:val="single"/>
          </w:rPr>
          <w:t>16.10 Never Rewrite a Paid Invoice</w:t>
        </w:r>
      </w:hyperlink>
    </w:p>
    <w:p>
      <w:pPr>
        <w:spacing w:after="40"/>
        <w:ind w:left="288"/>
      </w:pPr>
      <w:hyperlink w:anchor="toc_22" w:history="1">
        <w:r>
          <w:rPr>
            <w:color w:val="161C4D"/>
            <w:u w:val="single"/>
          </w:rPr>
          <w:t>Chapter 17 — Refunds, Business Terms &amp; Financial Gates</w:t>
        </w:r>
      </w:hyperlink>
    </w:p>
    <w:p>
      <w:pPr>
        <w:spacing w:after="40"/>
        <w:ind w:left="648"/>
      </w:pPr>
      <w:hyperlink w:anchor="toc_23" w:history="1">
        <w:r>
          <w:rPr>
            <w:color w:val="161C4D"/>
            <w:u w:val="single"/>
          </w:rPr>
          <w:t>17.1 Refund Review Versus Completed Refund</w:t>
        </w:r>
      </w:hyperlink>
    </w:p>
    <w:p>
      <w:pPr>
        <w:spacing w:after="40"/>
        <w:ind w:left="648"/>
      </w:pPr>
      <w:hyperlink w:anchor="toc_24" w:history="1">
        <w:r>
          <w:rPr>
            <w:color w:val="161C4D"/>
            <w:u w:val="single"/>
          </w:rPr>
          <w:t>17.2 Partial/Full and Retained Amount</w:t>
        </w:r>
      </w:hyperlink>
    </w:p>
    <w:p>
      <w:pPr>
        <w:spacing w:after="40"/>
        <w:ind w:left="648"/>
      </w:pPr>
      <w:hyperlink w:anchor="toc_25" w:history="1">
        <w:r>
          <w:rPr>
            <w:color w:val="161C4D"/>
            <w:u w:val="single"/>
          </w:rPr>
          <w:t>17.3 Original Payment Relationship</w:t>
        </w:r>
      </w:hyperlink>
    </w:p>
    <w:p>
      <w:pPr>
        <w:spacing w:after="40"/>
        <w:ind w:left="648"/>
      </w:pPr>
      <w:hyperlink w:anchor="toc_26" w:history="1">
        <w:r>
          <w:rPr>
            <w:color w:val="161C4D"/>
            <w:u w:val="single"/>
          </w:rPr>
          <w:t>17.4 Failed or Ambiguous Provider State</w:t>
        </w:r>
      </w:hyperlink>
    </w:p>
    <w:p>
      <w:pPr>
        <w:spacing w:after="40"/>
        <w:ind w:left="648"/>
      </w:pPr>
      <w:hyperlink w:anchor="toc_27" w:history="1">
        <w:r>
          <w:rPr>
            <w:color w:val="161C4D"/>
            <w:u w:val="single"/>
          </w:rPr>
          <w:t>17.5 Prepaid, Due on Receipt, Net 15, and Net 30</w:t>
        </w:r>
      </w:hyperlink>
    </w:p>
    <w:p>
      <w:pPr>
        <w:spacing w:after="40"/>
        <w:ind w:left="648"/>
      </w:pPr>
      <w:hyperlink w:anchor="toc_28" w:history="1">
        <w:r>
          <w:rPr>
            <w:color w:val="161C4D"/>
            <w:u w:val="single"/>
          </w:rPr>
          <w:t>17.6 Who Assigns Terms</w:t>
        </w:r>
      </w:hyperlink>
    </w:p>
    <w:p>
      <w:pPr>
        <w:spacing w:after="40"/>
        <w:ind w:left="648"/>
      </w:pPr>
      <w:hyperlink w:anchor="toc_29" w:history="1">
        <w:r>
          <w:rPr>
            <w:color w:val="161C4D"/>
            <w:u w:val="single"/>
          </w:rPr>
          <w:t>17.7 Credit Hold</w:t>
        </w:r>
      </w:hyperlink>
    </w:p>
    <w:p>
      <w:pPr>
        <w:spacing w:after="40"/>
        <w:ind w:left="648"/>
      </w:pPr>
      <w:hyperlink w:anchor="toc_30" w:history="1">
        <w:r>
          <w:rPr>
            <w:color w:val="161C4D"/>
            <w:u w:val="single"/>
          </w:rPr>
          <w:t>17.8 Postpaid Completion and Open Receivable</w:t>
        </w:r>
      </w:hyperlink>
    </w:p>
    <w:p>
      <w:pPr>
        <w:spacing w:after="40"/>
        <w:ind w:left="648"/>
      </w:pPr>
      <w:hyperlink w:anchor="toc_31" w:history="1">
        <w:r>
          <w:rPr>
            <w:color w:val="161C4D"/>
            <w:u w:val="single"/>
          </w:rPr>
          <w:t>17.9 Prohibited Shortcuts</w:t>
        </w:r>
      </w:hyperlink>
    </w:p>
    <w:p>
      <w:pPr>
        <w:spacing w:after="40"/>
        <w:ind w:left="648"/>
      </w:pPr>
      <w:hyperlink w:anchor="toc_32" w:history="1">
        <w:r>
          <w:rPr>
            <w:color w:val="161C4D"/>
            <w:u w:val="single"/>
          </w:rPr>
          <w:t>17.10 Financial Decision Table and Escalation</w:t>
        </w:r>
      </w:hyperlink>
    </w:p>
    <w:p>
      <w:pPr>
        <w:spacing w:after="40"/>
        <w:ind w:left="0"/>
      </w:pPr>
      <w:hyperlink w:anchor="toc_33" w:history="1">
        <w:r>
          <w:rPr>
            <w:color w:val="161C4D"/>
            <w:u w:val="single"/>
          </w:rPr>
          <w:t>PART VI — REMOTE ONLINE NOTARIZATION</w:t>
        </w:r>
      </w:hyperlink>
    </w:p>
    <w:p>
      <w:pPr>
        <w:spacing w:after="40"/>
        <w:ind w:left="288"/>
      </w:pPr>
      <w:hyperlink w:anchor="toc_34" w:history="1">
        <w:r>
          <w:rPr>
            <w:color w:val="161C4D"/>
            <w:u w:val="single"/>
          </w:rPr>
          <w:t>Chapter 18 — Remote Online Notary Foundations &amp; Workflow</w:t>
        </w:r>
      </w:hyperlink>
    </w:p>
    <w:p>
      <w:pPr>
        <w:spacing w:after="40"/>
        <w:ind w:left="648"/>
      </w:pPr>
      <w:hyperlink w:anchor="toc_35" w:history="1">
        <w:r>
          <w:rPr>
            <w:color w:val="161C4D"/>
            <w:u w:val="single"/>
          </w:rPr>
          <w:t>18.1 APS-Originated RON Powered by Proof</w:t>
        </w:r>
      </w:hyperlink>
    </w:p>
    <w:p>
      <w:pPr>
        <w:spacing w:after="40"/>
        <w:ind w:left="648"/>
      </w:pPr>
      <w:hyperlink w:anchor="toc_36" w:history="1">
        <w:r>
          <w:rPr>
            <w:color w:val="161C4D"/>
            <w:u w:val="single"/>
          </w:rPr>
          <w:t>18.2 Texas Operator Boundaries</w:t>
        </w:r>
      </w:hyperlink>
    </w:p>
    <w:p>
      <w:pPr>
        <w:spacing w:after="40"/>
        <w:ind w:left="648"/>
      </w:pPr>
      <w:hyperlink w:anchor="toc_37" w:history="1">
        <w:r>
          <w:rPr>
            <w:color w:val="161C4D"/>
            <w:u w:val="single"/>
          </w:rPr>
          <w:t>18.3 Readiness Domains</w:t>
        </w:r>
      </w:hyperlink>
    </w:p>
    <w:p>
      <w:pPr>
        <w:spacing w:after="40"/>
        <w:ind w:left="648"/>
      </w:pPr>
      <w:hyperlink w:anchor="toc_38" w:history="1">
        <w:r>
          <w:rPr>
            <w:color w:val="161C4D"/>
            <w:u w:val="single"/>
          </w:rPr>
          <w:t>18.4 What APS Controls and What Proof Controls</w:t>
        </w:r>
      </w:hyperlink>
    </w:p>
    <w:p>
      <w:pPr>
        <w:spacing w:after="40"/>
        <w:ind w:left="648"/>
      </w:pPr>
      <w:hyperlink w:anchor="toc_39" w:history="1">
        <w:r>
          <w:rPr>
            <w:color w:val="161C4D"/>
            <w:u w:val="single"/>
          </w:rPr>
          <w:t>18.5 KBA, Identity, Meeting, and Privacy Boundaries</w:t>
        </w:r>
      </w:hyperlink>
    </w:p>
    <w:p>
      <w:pPr>
        <w:spacing w:after="40"/>
        <w:ind w:left="648"/>
      </w:pPr>
      <w:hyperlink w:anchor="toc_40" w:history="1">
        <w:r>
          <w:rPr>
            <w:color w:val="161C4D"/>
            <w:u w:val="single"/>
          </w:rPr>
          <w:t>18.6 Remote Online Notary Workflow Map</w:t>
        </w:r>
      </w:hyperlink>
    </w:p>
    <w:p>
      <w:pPr>
        <w:spacing w:after="40"/>
        <w:ind w:left="648"/>
      </w:pPr>
      <w:hyperlink w:anchor="toc_41" w:history="1">
        <w:r>
          <w:rPr>
            <w:color w:val="161C4D"/>
            <w:u w:val="single"/>
          </w:rPr>
          <w:t>18.7 Thirteen APS RON Stages</w:t>
        </w:r>
      </w:hyperlink>
    </w:p>
    <w:p>
      <w:pPr>
        <w:spacing w:after="40"/>
        <w:ind w:left="288"/>
      </w:pPr>
      <w:hyperlink w:anchor="toc_42" w:history="1">
        <w:r>
          <w:rPr>
            <w:color w:val="161C4D"/>
            <w:u w:val="single"/>
          </w:rPr>
          <w:t>Chapter 19 — Preparing the Remote Online Notary Quote</w:t>
        </w:r>
      </w:hyperlink>
    </w:p>
    <w:p>
      <w:pPr>
        <w:spacing w:after="40"/>
        <w:ind w:left="648"/>
      </w:pPr>
      <w:hyperlink w:anchor="toc_43" w:history="1">
        <w:r>
          <w:rPr>
            <w:color w:val="161C4D"/>
            <w:u w:val="single"/>
          </w:rPr>
          <w:t>19.1 When RON Is Ready to Quote</w:t>
        </w:r>
      </w:hyperlink>
    </w:p>
    <w:p>
      <w:pPr>
        <w:spacing w:after="40"/>
        <w:ind w:left="648"/>
      </w:pPr>
      <w:hyperlink w:anchor="toc_44" w:history="1">
        <w:r>
          <w:rPr>
            <w:color w:val="161C4D"/>
            <w:u w:val="single"/>
          </w:rPr>
          <w:t>19.2 Notarial Act Information</w:t>
        </w:r>
      </w:hyperlink>
    </w:p>
    <w:p>
      <w:pPr>
        <w:spacing w:after="40"/>
        <w:ind w:left="648"/>
      </w:pPr>
      <w:hyperlink w:anchor="toc_45" w:history="1">
        <w:r>
          <w:rPr>
            <w:color w:val="161C4D"/>
            <w:u w:val="single"/>
          </w:rPr>
          <w:t>19.3 Participants and Witnesses</w:t>
        </w:r>
      </w:hyperlink>
    </w:p>
    <w:p>
      <w:pPr>
        <w:spacing w:after="40"/>
        <w:ind w:left="648"/>
      </w:pPr>
      <w:hyperlink w:anchor="toc_46" w:history="1">
        <w:r>
          <w:rPr>
            <w:color w:val="161C4D"/>
            <w:u w:val="single"/>
          </w:rPr>
          <w:t>19.4 Documents and Service Requirements</w:t>
        </w:r>
      </w:hyperlink>
    </w:p>
    <w:p>
      <w:pPr>
        <w:spacing w:after="40"/>
        <w:ind w:left="648"/>
      </w:pPr>
      <w:hyperlink w:anchor="toc_47" w:history="1">
        <w:r>
          <w:rPr>
            <w:color w:val="161C4D"/>
            <w:u w:val="single"/>
          </w:rPr>
          <w:t>19.5 Build, Review, and Send Quote</w:t>
        </w:r>
      </w:hyperlink>
    </w:p>
    <w:p>
      <w:pPr>
        <w:spacing w:after="40"/>
        <w:ind w:left="648"/>
      </w:pPr>
      <w:hyperlink w:anchor="toc_48" w:history="1">
        <w:r>
          <w:rPr>
            <w:color w:val="161C4D"/>
            <w:u w:val="single"/>
          </w:rPr>
          <w:t>19.6 Customer Approval</w:t>
        </w:r>
      </w:hyperlink>
    </w:p>
    <w:p>
      <w:pPr>
        <w:spacing w:after="40"/>
        <w:ind w:left="648"/>
      </w:pPr>
      <w:hyperlink w:anchor="toc_49" w:history="1">
        <w:r>
          <w:rPr>
            <w:color w:val="161C4D"/>
            <w:u w:val="single"/>
          </w:rPr>
          <w:t>19.7 Prepaid Payment Gate</w:t>
        </w:r>
      </w:hyperlink>
    </w:p>
    <w:p>
      <w:pPr>
        <w:spacing w:after="40"/>
        <w:ind w:left="648"/>
      </w:pPr>
      <w:hyperlink w:anchor="toc_50" w:history="1">
        <w:r>
          <w:rPr>
            <w:color w:val="161C4D"/>
            <w:u w:val="single"/>
          </w:rPr>
          <w:t>19.8 When to Revise</w:t>
        </w:r>
      </w:hyperlink>
    </w:p>
    <w:p>
      <w:pPr>
        <w:spacing w:after="40"/>
        <w:ind w:left="648"/>
      </w:pPr>
      <w:hyperlink w:anchor="toc_51" w:history="1">
        <w:r>
          <w:rPr>
            <w:color w:val="161C4D"/>
            <w:u w:val="single"/>
          </w:rPr>
          <w:t>19.9 RON Quote Readiness Checklist</w:t>
        </w:r>
      </w:hyperlink>
    </w:p>
    <w:p>
      <w:pPr>
        <w:spacing w:after="40"/>
        <w:ind w:left="288"/>
      </w:pPr>
      <w:hyperlink w:anchor="toc_52" w:history="1">
        <w:r>
          <w:rPr>
            <w:color w:val="161C4D"/>
            <w:u w:val="single"/>
          </w:rPr>
          <w:t>Chapter 20 — RON Status, Operator Action &amp; Customer Communication Sequence</w:t>
        </w:r>
      </w:hyperlink>
    </w:p>
    <w:p>
      <w:pPr>
        <w:spacing w:after="40"/>
        <w:ind w:left="648"/>
      </w:pPr>
      <w:hyperlink w:anchor="toc_53" w:history="1">
        <w:r>
          <w:rPr>
            <w:color w:val="161C4D"/>
            <w:u w:val="single"/>
          </w:rPr>
          <w:t>20.1–20.13 Operating Rule</w:t>
        </w:r>
      </w:hyperlink>
    </w:p>
    <w:p>
      <w:pPr>
        <w:spacing w:after="40"/>
        <w:ind w:left="288"/>
      </w:pPr>
      <w:hyperlink w:anchor="toc_54" w:history="1">
        <w:r>
          <w:rPr>
            <w:color w:val="161C4D"/>
            <w:u w:val="single"/>
          </w:rPr>
          <w:t>Chapter 21 — RON Fulfillment Gates &amp; Closeout</w:t>
        </w:r>
      </w:hyperlink>
    </w:p>
    <w:p>
      <w:pPr>
        <w:spacing w:after="40"/>
        <w:ind w:left="648"/>
      </w:pPr>
      <w:hyperlink w:anchor="toc_55" w:history="1">
        <w:r>
          <w:rPr>
            <w:color w:val="161C4D"/>
            <w:u w:val="single"/>
          </w:rPr>
          <w:t>21.1–21.8 Readiness Gates</w:t>
        </w:r>
      </w:hyperlink>
    </w:p>
    <w:p>
      <w:pPr>
        <w:spacing w:after="40"/>
        <w:ind w:left="648"/>
      </w:pPr>
      <w:hyperlink w:anchor="toc_56" w:history="1">
        <w:r>
          <w:rPr>
            <w:color w:val="161C4D"/>
            <w:u w:val="single"/>
          </w:rPr>
          <w:t>21.9 Session Completion</w:t>
        </w:r>
      </w:hyperlink>
    </w:p>
    <w:p>
      <w:pPr>
        <w:spacing w:after="40"/>
        <w:ind w:left="648"/>
      </w:pPr>
      <w:hyperlink w:anchor="toc_57" w:history="1">
        <w:r>
          <w:rPr>
            <w:color w:val="161C4D"/>
            <w:u w:val="single"/>
          </w:rPr>
          <w:t>21.10 Completed Proof Document</w:t>
        </w:r>
      </w:hyperlink>
    </w:p>
    <w:p>
      <w:pPr>
        <w:spacing w:after="40"/>
        <w:ind w:left="648"/>
      </w:pPr>
      <w:hyperlink w:anchor="toc_58" w:history="1">
        <w:r>
          <w:rPr>
            <w:color w:val="161C4D"/>
            <w:u w:val="single"/>
          </w:rPr>
          <w:t>21.11 Document Release</w:t>
        </w:r>
      </w:hyperlink>
    </w:p>
    <w:p>
      <w:pPr>
        <w:spacing w:after="40"/>
        <w:ind w:left="648"/>
      </w:pPr>
      <w:hyperlink w:anchor="toc_59" w:history="1">
        <w:r>
          <w:rPr>
            <w:color w:val="161C4D"/>
            <w:u w:val="single"/>
          </w:rPr>
          <w:t>21.12 Final Completion</w:t>
        </w:r>
      </w:hyperlink>
    </w:p>
    <w:p>
      <w:pPr>
        <w:spacing w:after="40"/>
        <w:ind w:left="648"/>
      </w:pPr>
      <w:hyperlink w:anchor="toc_60" w:history="1">
        <w:r>
          <w:rPr>
            <w:color w:val="161C4D"/>
            <w:u w:val="single"/>
          </w:rPr>
          <w:t>21.13 Post-Session Review and Release Procedure</w:t>
        </w:r>
      </w:hyperlink>
    </w:p>
    <w:p>
      <w:pPr>
        <w:spacing w:after="40"/>
        <w:ind w:left="648"/>
      </w:pPr>
      <w:hyperlink w:anchor="toc_61" w:history="1">
        <w:r>
          <w:rPr>
            <w:color w:val="161C4D"/>
            <w:u w:val="single"/>
          </w:rPr>
          <w:t>21.14 Failed or Incomplete Processing</w:t>
        </w:r>
      </w:hyperlink>
    </w:p>
    <w:p>
      <w:pPr>
        <w:spacing w:after="40"/>
        <w:ind w:left="648"/>
      </w:pPr>
      <w:hyperlink w:anchor="toc_62" w:history="1">
        <w:r>
          <w:rPr>
            <w:color w:val="161C4D"/>
            <w:u w:val="single"/>
          </w:rPr>
          <w:t>21.15 RON Failure / Alternative Path Decision Tree</w:t>
        </w:r>
      </w:hyperlink>
    </w:p>
    <w:p>
      <w:pPr>
        <w:spacing w:after="40"/>
        <w:ind w:left="648"/>
      </w:pPr>
      <w:hyperlink w:anchor="toc_63" w:history="1">
        <w:r>
          <w:rPr>
            <w:color w:val="161C4D"/>
            <w:u w:val="single"/>
          </w:rPr>
          <w:t>21.16 RON Quick References</w:t>
        </w:r>
      </w:hyperlink>
    </w:p>
    <w:p>
      <w:pPr>
        <w:spacing w:after="40"/>
        <w:ind w:left="0"/>
      </w:pPr>
      <w:hyperlink w:anchor="toc_64" w:history="1">
        <w:r>
          <w:rPr>
            <w:color w:val="161C4D"/>
            <w:u w:val="single"/>
          </w:rPr>
          <w:t>PART VII — MOBILE NOTARY</w:t>
        </w:r>
      </w:hyperlink>
    </w:p>
    <w:p>
      <w:pPr>
        <w:spacing w:after="40"/>
        <w:ind w:left="288"/>
      </w:pPr>
      <w:hyperlink w:anchor="toc_65" w:history="1">
        <w:r>
          <w:rPr>
            <w:color w:val="161C4D"/>
            <w:u w:val="single"/>
          </w:rPr>
          <w:t>Chapter 22 — Mobile Notary Workflow, Travel &amp; Readiness</w:t>
        </w:r>
      </w:hyperlink>
    </w:p>
    <w:p>
      <w:pPr>
        <w:spacing w:after="40"/>
        <w:ind w:left="648"/>
      </w:pPr>
      <w:hyperlink w:anchor="toc_66" w:history="1">
        <w:r>
          <w:rPr>
            <w:color w:val="161C4D"/>
            <w:u w:val="single"/>
          </w:rPr>
          <w:t>22.1 Mobile Notary Workflow Map</w:t>
        </w:r>
      </w:hyperlink>
    </w:p>
    <w:p>
      <w:pPr>
        <w:spacing w:after="40"/>
        <w:ind w:left="648"/>
      </w:pPr>
      <w:hyperlink w:anchor="toc_67" w:history="1">
        <w:r>
          <w:rPr>
            <w:color w:val="161C4D"/>
            <w:u w:val="single"/>
          </w:rPr>
          <w:t>22.2 Intake and Service Address</w:t>
        </w:r>
      </w:hyperlink>
    </w:p>
    <w:p>
      <w:pPr>
        <w:spacing w:after="40"/>
        <w:ind w:left="648"/>
      </w:pPr>
      <w:hyperlink w:anchor="toc_68" w:history="1">
        <w:r>
          <w:rPr>
            <w:color w:val="161C4D"/>
            <w:u w:val="single"/>
          </w:rPr>
          <w:t>22.3 Travel Origin</w:t>
        </w:r>
      </w:hyperlink>
    </w:p>
    <w:p>
      <w:pPr>
        <w:spacing w:after="40"/>
        <w:ind w:left="648"/>
      </w:pPr>
      <w:hyperlink w:anchor="toc_69" w:history="1">
        <w:r>
          <w:rPr>
            <w:color w:val="161C4D"/>
            <w:u w:val="single"/>
          </w:rPr>
          <w:t>22.4 ORS and Manual Distance Fallback</w:t>
        </w:r>
      </w:hyperlink>
    </w:p>
    <w:p>
      <w:pPr>
        <w:spacing w:after="40"/>
        <w:ind w:left="648"/>
      </w:pPr>
      <w:hyperlink w:anchor="toc_70" w:history="1">
        <w:r>
          <w:rPr>
            <w:color w:val="161C4D"/>
            <w:u w:val="single"/>
          </w:rPr>
          <w:t>22.5 Fee Inputs</w:t>
        </w:r>
      </w:hyperlink>
    </w:p>
    <w:p>
      <w:pPr>
        <w:spacing w:after="40"/>
        <w:ind w:left="648"/>
      </w:pPr>
      <w:hyperlink w:anchor="toc_71" w:history="1">
        <w:r>
          <w:rPr>
            <w:color w:val="161C4D"/>
            <w:u w:val="single"/>
          </w:rPr>
          <w:t>22.6 Mobile Travel / Quote Decision Flow</w:t>
        </w:r>
      </w:hyperlink>
    </w:p>
    <w:p>
      <w:pPr>
        <w:spacing w:after="40"/>
        <w:ind w:left="648"/>
      </w:pPr>
      <w:hyperlink w:anchor="toc_72" w:history="1">
        <w:r>
          <w:rPr>
            <w:color w:val="161C4D"/>
            <w:u w:val="single"/>
          </w:rPr>
          <w:t>22.7 Requested Versus Confirmed Appointment</w:t>
        </w:r>
      </w:hyperlink>
    </w:p>
    <w:p>
      <w:pPr>
        <w:spacing w:after="40"/>
        <w:ind w:left="648"/>
      </w:pPr>
      <w:hyperlink w:anchor="toc_73" w:history="1">
        <w:r>
          <w:rPr>
            <w:color w:val="161C4D"/>
            <w:u w:val="single"/>
          </w:rPr>
          <w:t>22.8 Participant and Document Readiness</w:t>
        </w:r>
      </w:hyperlink>
    </w:p>
    <w:p>
      <w:pPr>
        <w:spacing w:after="40"/>
        <w:ind w:left="648"/>
      </w:pPr>
      <w:hyperlink w:anchor="toc_74" w:history="1">
        <w:r>
          <w:rPr>
            <w:color w:val="161C4D"/>
            <w:u w:val="single"/>
          </w:rPr>
          <w:t>22.9 Safety, Reschedule, and Dispatch</w:t>
        </w:r>
      </w:hyperlink>
    </w:p>
    <w:p>
      <w:pPr>
        <w:spacing w:after="40"/>
        <w:ind w:left="288"/>
      </w:pPr>
      <w:hyperlink w:anchor="toc_75" w:history="1">
        <w:r>
          <w:rPr>
            <w:color w:val="161C4D"/>
            <w:u w:val="single"/>
          </w:rPr>
          <w:t>Chapter 23 — Preparing the Mobile Notary Quote</w:t>
        </w:r>
      </w:hyperlink>
    </w:p>
    <w:p>
      <w:pPr>
        <w:spacing w:after="40"/>
        <w:ind w:left="648"/>
      </w:pPr>
      <w:hyperlink w:anchor="toc_76" w:history="1">
        <w:r>
          <w:rPr>
            <w:color w:val="161C4D"/>
            <w:u w:val="single"/>
          </w:rPr>
          <w:t>23.1–23.3 Readiness and Fee Inputs</w:t>
        </w:r>
      </w:hyperlink>
    </w:p>
    <w:p>
      <w:pPr>
        <w:spacing w:after="40"/>
        <w:ind w:left="648"/>
      </w:pPr>
      <w:hyperlink w:anchor="toc_77" w:history="1">
        <w:r>
          <w:rPr>
            <w:color w:val="161C4D"/>
            <w:u w:val="single"/>
          </w:rPr>
          <w:t>23.4 Build, Review, and Send</w:t>
        </w:r>
      </w:hyperlink>
    </w:p>
    <w:p>
      <w:pPr>
        <w:spacing w:after="40"/>
        <w:ind w:left="648"/>
      </w:pPr>
      <w:hyperlink w:anchor="toc_78" w:history="1">
        <w:r>
          <w:rPr>
            <w:color w:val="161C4D"/>
            <w:u w:val="single"/>
          </w:rPr>
          <w:t>23.5 Approval and Payment</w:t>
        </w:r>
      </w:hyperlink>
    </w:p>
    <w:p>
      <w:pPr>
        <w:spacing w:after="40"/>
        <w:ind w:left="648"/>
      </w:pPr>
      <w:hyperlink w:anchor="toc_79" w:history="1">
        <w:r>
          <w:rPr>
            <w:color w:val="161C4D"/>
            <w:u w:val="single"/>
          </w:rPr>
          <w:t>23.6 Revision</w:t>
        </w:r>
      </w:hyperlink>
    </w:p>
    <w:p>
      <w:pPr>
        <w:spacing w:after="40"/>
        <w:ind w:left="648"/>
      </w:pPr>
      <w:hyperlink w:anchor="toc_80" w:history="1">
        <w:r>
          <w:rPr>
            <w:color w:val="161C4D"/>
            <w:u w:val="single"/>
          </w:rPr>
          <w:t>23.7 Mobile Quote Readiness Checklist</w:t>
        </w:r>
      </w:hyperlink>
    </w:p>
    <w:p>
      <w:pPr>
        <w:spacing w:after="40"/>
        <w:ind w:left="288"/>
      </w:pPr>
      <w:hyperlink w:anchor="toc_81" w:history="1">
        <w:r>
          <w:rPr>
            <w:color w:val="161C4D"/>
            <w:u w:val="single"/>
          </w:rPr>
          <w:t>Chapter 24 — Mobile Status, Operator Action &amp; Customer Communication Sequence</w:t>
        </w:r>
      </w:hyperlink>
    </w:p>
    <w:p>
      <w:pPr>
        <w:spacing w:after="40"/>
        <w:ind w:left="648"/>
      </w:pPr>
      <w:hyperlink w:anchor="toc_82" w:history="1">
        <w:r>
          <w:rPr>
            <w:color w:val="161C4D"/>
            <w:u w:val="single"/>
          </w:rPr>
          <w:t>24.12 Timeline Evidence</w:t>
        </w:r>
      </w:hyperlink>
    </w:p>
    <w:p>
      <w:pPr>
        <w:spacing w:after="40"/>
        <w:ind w:left="288"/>
      </w:pPr>
      <w:hyperlink w:anchor="toc_83" w:history="1">
        <w:r>
          <w:rPr>
            <w:color w:val="161C4D"/>
            <w:u w:val="single"/>
          </w:rPr>
          <w:t>Chapter 25 — Mobile Fulfillment Gates, Appointment &amp; Closeout</w:t>
        </w:r>
      </w:hyperlink>
    </w:p>
    <w:p>
      <w:pPr>
        <w:spacing w:after="40"/>
        <w:ind w:left="648"/>
      </w:pPr>
      <w:hyperlink w:anchor="toc_84" w:history="1">
        <w:r>
          <w:rPr>
            <w:color w:val="161C4D"/>
            <w:u w:val="single"/>
          </w:rPr>
          <w:t>25.1 Readiness Gates</w:t>
        </w:r>
      </w:hyperlink>
    </w:p>
    <w:p>
      <w:pPr>
        <w:spacing w:after="40"/>
        <w:ind w:left="648"/>
      </w:pPr>
      <w:hyperlink w:anchor="toc_85" w:history="1">
        <w:r>
          <w:rPr>
            <w:color w:val="161C4D"/>
            <w:u w:val="single"/>
          </w:rPr>
          <w:t>25.2 Before You Leave</w:t>
        </w:r>
      </w:hyperlink>
    </w:p>
    <w:p>
      <w:pPr>
        <w:spacing w:after="40"/>
        <w:ind w:left="648"/>
      </w:pPr>
      <w:hyperlink w:anchor="toc_86" w:history="1">
        <w:r>
          <w:rPr>
            <w:color w:val="161C4D"/>
            <w:u w:val="single"/>
          </w:rPr>
          <w:t>25.3 Travel and Arrival</w:t>
        </w:r>
      </w:hyperlink>
    </w:p>
    <w:p>
      <w:pPr>
        <w:spacing w:after="40"/>
        <w:ind w:left="648"/>
      </w:pPr>
      <w:hyperlink w:anchor="toc_87" w:history="1">
        <w:r>
          <w:rPr>
            <w:color w:val="161C4D"/>
            <w:u w:val="single"/>
          </w:rPr>
          <w:t>25.4 At the Table</w:t>
        </w:r>
      </w:hyperlink>
    </w:p>
    <w:p>
      <w:pPr>
        <w:spacing w:after="40"/>
        <w:ind w:left="648"/>
      </w:pPr>
      <w:hyperlink w:anchor="toc_88" w:history="1">
        <w:r>
          <w:rPr>
            <w:color w:val="161C4D"/>
            <w:u w:val="single"/>
          </w:rPr>
          <w:t>25.5 Identity, Willingness, Act, and Certificate</w:t>
        </w:r>
      </w:hyperlink>
    </w:p>
    <w:p>
      <w:pPr>
        <w:spacing w:after="40"/>
        <w:ind w:left="648"/>
      </w:pPr>
      <w:hyperlink w:anchor="toc_89" w:history="1">
        <w:r>
          <w:rPr>
            <w:color w:val="161C4D"/>
            <w:u w:val="single"/>
          </w:rPr>
          <w:t>25.6 Journal Completion</w:t>
        </w:r>
      </w:hyperlink>
    </w:p>
    <w:p>
      <w:pPr>
        <w:spacing w:after="40"/>
        <w:ind w:left="648"/>
      </w:pPr>
      <w:hyperlink w:anchor="toc_90" w:history="1">
        <w:r>
          <w:rPr>
            <w:color w:val="161C4D"/>
            <w:u w:val="single"/>
          </w:rPr>
          <w:t>25.7 Optional Scan</w:t>
        </w:r>
      </w:hyperlink>
    </w:p>
    <w:p>
      <w:pPr>
        <w:spacing w:after="40"/>
        <w:ind w:left="648"/>
      </w:pPr>
      <w:hyperlink w:anchor="toc_91" w:history="1">
        <w:r>
          <w:rPr>
            <w:color w:val="161C4D"/>
            <w:u w:val="single"/>
          </w:rPr>
          <w:t>25.8 Final Charges</w:t>
        </w:r>
      </w:hyperlink>
    </w:p>
    <w:p>
      <w:pPr>
        <w:spacing w:after="40"/>
        <w:ind w:left="648"/>
      </w:pPr>
      <w:hyperlink w:anchor="toc_92" w:history="1">
        <w:r>
          <w:rPr>
            <w:color w:val="161C4D"/>
            <w:u w:val="single"/>
          </w:rPr>
          <w:t>25.9 Delivery</w:t>
        </w:r>
      </w:hyperlink>
    </w:p>
    <w:p>
      <w:pPr>
        <w:spacing w:after="40"/>
        <w:ind w:left="648"/>
      </w:pPr>
      <w:hyperlink w:anchor="toc_93" w:history="1">
        <w:r>
          <w:rPr>
            <w:color w:val="161C4D"/>
            <w:u w:val="single"/>
          </w:rPr>
          <w:t>25.10 Before You Drive Away</w:t>
        </w:r>
      </w:hyperlink>
    </w:p>
    <w:p>
      <w:pPr>
        <w:spacing w:after="40"/>
        <w:ind w:left="648"/>
      </w:pPr>
      <w:hyperlink w:anchor="toc_94" w:history="1">
        <w:r>
          <w:rPr>
            <w:color w:val="161C4D"/>
            <w:u w:val="single"/>
          </w:rPr>
          <w:t>25.11 Final Money and Completion Gates</w:t>
        </w:r>
      </w:hyperlink>
    </w:p>
    <w:p>
      <w:pPr>
        <w:spacing w:after="40"/>
        <w:ind w:left="648"/>
      </w:pPr>
      <w:hyperlink w:anchor="toc_95" w:history="1">
        <w:r>
          <w:rPr>
            <w:color w:val="161C4D"/>
            <w:u w:val="single"/>
          </w:rPr>
          <w:t>25.12 Exceptions, Safety, and Quick References</w:t>
        </w:r>
      </w:hyperlink>
    </w:p>
    <w:p>
      <w:pPr>
        <w:spacing w:after="40"/>
        <w:ind w:left="0"/>
      </w:pPr>
      <w:hyperlink w:anchor="toc_96" w:history="1">
        <w:r>
          <w:rPr>
            <w:color w:val="161C4D"/>
            <w:u w:val="single"/>
          </w:rPr>
          <w:t>PART VIII — PRINT &amp; SCAN</w:t>
        </w:r>
      </w:hyperlink>
    </w:p>
    <w:p>
      <w:pPr>
        <w:spacing w:after="40"/>
        <w:ind w:left="288"/>
      </w:pPr>
      <w:hyperlink w:anchor="toc_97" w:history="1">
        <w:r>
          <w:rPr>
            <w:color w:val="161C4D"/>
            <w:u w:val="single"/>
          </w:rPr>
          <w:t>Chapter 26 — Print &amp; Scan Workflow &amp; Quote Preparation</w:t>
        </w:r>
      </w:hyperlink>
    </w:p>
    <w:p>
      <w:pPr>
        <w:spacing w:after="40"/>
        <w:ind w:left="648"/>
      </w:pPr>
      <w:hyperlink w:anchor="toc_98" w:history="1">
        <w:r>
          <w:rPr>
            <w:color w:val="161C4D"/>
            <w:u w:val="single"/>
          </w:rPr>
          <w:t>26.1 Print &amp; Scan Workflow Map</w:t>
        </w:r>
      </w:hyperlink>
    </w:p>
    <w:p>
      <w:pPr>
        <w:spacing w:after="40"/>
        <w:ind w:left="648"/>
      </w:pPr>
      <w:hyperlink w:anchor="toc_99" w:history="1">
        <w:r>
          <w:rPr>
            <w:color w:val="161C4D"/>
            <w:u w:val="single"/>
          </w:rPr>
          <w:t>26.2 When Ready to Quote</w:t>
        </w:r>
      </w:hyperlink>
    </w:p>
    <w:p>
      <w:pPr>
        <w:spacing w:after="40"/>
        <w:ind w:left="648"/>
      </w:pPr>
      <w:hyperlink w:anchor="toc_100" w:history="1">
        <w:r>
          <w:rPr>
            <w:color w:val="161C4D"/>
            <w:u w:val="single"/>
          </w:rPr>
          <w:t>26.3 File Opens and Authoritative Page Count</w:t>
        </w:r>
      </w:hyperlink>
    </w:p>
    <w:p>
      <w:pPr>
        <w:spacing w:after="40"/>
        <w:ind w:left="648"/>
      </w:pPr>
      <w:hyperlink w:anchor="toc_101" w:history="1">
        <w:r>
          <w:rPr>
            <w:color w:val="161C4D"/>
            <w:u w:val="single"/>
          </w:rPr>
          <w:t>26.4 Production Requirements</w:t>
        </w:r>
      </w:hyperlink>
    </w:p>
    <w:p>
      <w:pPr>
        <w:spacing w:after="40"/>
        <w:ind w:left="648"/>
      </w:pPr>
      <w:hyperlink w:anchor="toc_102" w:history="1">
        <w:r>
          <w:rPr>
            <w:color w:val="161C4D"/>
            <w:u w:val="single"/>
          </w:rPr>
          <w:t>26.5 Scanning, PDF Support, and Delivery</w:t>
        </w:r>
      </w:hyperlink>
    </w:p>
    <w:p>
      <w:pPr>
        <w:spacing w:after="40"/>
        <w:ind w:left="648"/>
      </w:pPr>
      <w:hyperlink w:anchor="toc_103" w:history="1">
        <w:r>
          <w:rPr>
            <w:color w:val="161C4D"/>
            <w:u w:val="single"/>
          </w:rPr>
          <w:t>26.6 Build Through Revision</w:t>
        </w:r>
      </w:hyperlink>
    </w:p>
    <w:p>
      <w:pPr>
        <w:spacing w:after="40"/>
        <w:ind w:left="648"/>
      </w:pPr>
      <w:hyperlink w:anchor="toc_104" w:history="1">
        <w:r>
          <w:rPr>
            <w:color w:val="161C4D"/>
            <w:u w:val="single"/>
          </w:rPr>
          <w:t>26.7 Quote Readiness Checklist</w:t>
        </w:r>
      </w:hyperlink>
    </w:p>
    <w:p>
      <w:pPr>
        <w:spacing w:after="40"/>
        <w:ind w:left="288"/>
      </w:pPr>
      <w:hyperlink w:anchor="toc_105" w:history="1">
        <w:r>
          <w:rPr>
            <w:color w:val="161C4D"/>
            <w:u w:val="single"/>
          </w:rPr>
          <w:t>Chapter 27 — Print &amp; Scan Status, Operator Action &amp; Customer Communication Sequence</w:t>
        </w:r>
      </w:hyperlink>
    </w:p>
    <w:p>
      <w:pPr>
        <w:spacing w:after="40"/>
        <w:ind w:left="648"/>
      </w:pPr>
      <w:hyperlink w:anchor="toc_106" w:history="1">
        <w:r>
          <w:rPr>
            <w:color w:val="161C4D"/>
            <w:u w:val="single"/>
          </w:rPr>
          <w:t>27.10 Timeline Evidence</w:t>
        </w:r>
      </w:hyperlink>
    </w:p>
    <w:p>
      <w:pPr>
        <w:spacing w:after="40"/>
        <w:ind w:left="288"/>
      </w:pPr>
      <w:hyperlink w:anchor="toc_107" w:history="1">
        <w:r>
          <w:rPr>
            <w:color w:val="161C4D"/>
            <w:u w:val="single"/>
          </w:rPr>
          <w:t>Chapter 28 — Print &amp; Scan Fulfillment Gates, Production &amp; Closeout</w:t>
        </w:r>
      </w:hyperlink>
    </w:p>
    <w:p>
      <w:pPr>
        <w:spacing w:after="40"/>
        <w:ind w:left="648"/>
      </w:pPr>
      <w:hyperlink w:anchor="toc_108" w:history="1">
        <w:r>
          <w:rPr>
            <w:color w:val="161C4D"/>
            <w:u w:val="single"/>
          </w:rPr>
          <w:t>28.1–28.7 Preproduction Gates</w:t>
        </w:r>
      </w:hyperlink>
    </w:p>
    <w:p>
      <w:pPr>
        <w:spacing w:after="40"/>
        <w:ind w:left="648"/>
      </w:pPr>
      <w:hyperlink w:anchor="toc_109" w:history="1">
        <w:r>
          <w:rPr>
            <w:color w:val="161C4D"/>
            <w:u w:val="single"/>
          </w:rPr>
          <w:t>28.8 Production-Start Boundary</w:t>
        </w:r>
      </w:hyperlink>
    </w:p>
    <w:p>
      <w:pPr>
        <w:spacing w:after="40"/>
        <w:ind w:left="648"/>
      </w:pPr>
      <w:hyperlink w:anchor="toc_110" w:history="1">
        <w:r>
          <w:rPr>
            <w:color w:val="161C4D"/>
            <w:u w:val="single"/>
          </w:rPr>
          <w:t>28.9 First-Copy and Final QC</w:t>
        </w:r>
      </w:hyperlink>
    </w:p>
    <w:p>
      <w:pPr>
        <w:spacing w:after="40"/>
        <w:ind w:left="648"/>
      </w:pPr>
      <w:hyperlink w:anchor="toc_111" w:history="1">
        <w:r>
          <w:rPr>
            <w:color w:val="161C4D"/>
            <w:u w:val="single"/>
          </w:rPr>
          <w:t>28.10 Scan QC, Naming, and Integrity</w:t>
        </w:r>
      </w:hyperlink>
    </w:p>
    <w:p>
      <w:pPr>
        <w:spacing w:after="40"/>
        <w:ind w:left="648"/>
      </w:pPr>
      <w:hyperlink w:anchor="toc_112" w:history="1">
        <w:r>
          <w:rPr>
            <w:color w:val="161C4D"/>
            <w:u w:val="single"/>
          </w:rPr>
          <w:t>28.11 Delivery</w:t>
        </w:r>
      </w:hyperlink>
    </w:p>
    <w:p>
      <w:pPr>
        <w:spacing w:after="40"/>
        <w:ind w:left="648"/>
      </w:pPr>
      <w:hyperlink w:anchor="toc_113" w:history="1">
        <w:r>
          <w:rPr>
            <w:color w:val="161C4D"/>
            <w:u w:val="single"/>
          </w:rPr>
          <w:t>28.12 Completion</w:t>
        </w:r>
      </w:hyperlink>
    </w:p>
    <w:p>
      <w:pPr>
        <w:spacing w:after="40"/>
        <w:ind w:left="648"/>
      </w:pPr>
      <w:hyperlink w:anchor="toc_114" w:history="1">
        <w:r>
          <w:rPr>
            <w:color w:val="161C4D"/>
            <w:u w:val="single"/>
          </w:rPr>
          <w:t>28.13 Exceptions and Recovery</w:t>
        </w:r>
      </w:hyperlink>
    </w:p>
    <w:p>
      <w:pPr>
        <w:spacing w:after="40"/>
        <w:ind w:left="648"/>
      </w:pPr>
      <w:hyperlink w:anchor="toc_115" w:history="1">
        <w:r>
          <w:rPr>
            <w:color w:val="161C4D"/>
            <w:u w:val="single"/>
          </w:rPr>
          <w:t>28.14 Quick References</w:t>
        </w:r>
      </w:hyperlink>
    </w:p>
    <w:p>
      <w:r>
        <w:br w:type="page"/>
      </w:r>
    </w:p>
    <w:p>
      <w:r>
        <w:br w:type="page"/>
      </w:r>
    </w:p>
    <w:p>
      <w:bookmarkStart w:id="1000" w:name="toc_1"/>
      <w:pPr>
        <w:pStyle w:val="Title"/>
      </w:pPr>
      <w:r>
        <w:t>PART V — QUOTES, INVOICES &amp; MONEY</w:t>
      </w:r>
      <w:bookmarkEnd w:id="1000"/>
    </w:p>
    <w:p>
      <w:bookmarkStart w:id="1001" w:name="toc_2"/>
      <w:pPr>
        <w:pStyle w:val="Heading1"/>
        <w:pageBreakBefore/>
      </w:pPr>
      <w:r>
        <w:t>Chapter 15 — From Estimate to Approved Quote</w:t>
      </w:r>
      <w:bookmarkEnd w:id="1001"/>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pPr>
        <w:spacing w:after="120" w:line="293" w:lineRule="auto"/>
      </w:pPr>
      <w:r>
        <w:rPr>
          <w:rFonts w:ascii="Montserrat" w:hAnsi="Montserrat"/>
          <w:b w:val="0"/>
          <w:i w:val="0"/>
          <w:color w:val="2D2D2D"/>
          <w:sz w:val="21"/>
        </w:rPr>
        <w:t>APS treats pricing as a controlled progression: intake facts support an estimate; verified scope supports a quote; customer or ordering-party approval authorizes the quoted scope. A quote never proves payment, appointment readiness, or fulfillment completion.</w:t>
      </w:r>
    </w:p>
    <w:p>
      <w:bookmarkStart w:id="1002" w:name="toc_3"/>
      <w:pPr>
        <w:pStyle w:val="Heading2"/>
      </w:pPr>
      <w:r>
        <w:t>15.1 Estimate Versus Quote</w:t>
      </w:r>
      <w:bookmarkEnd w:id="1002"/>
    </w:p>
    <w:p>
      <w:pPr>
        <w:spacing w:after="120" w:line="293" w:lineRule="auto"/>
      </w:pPr>
      <w:r>
        <w:rPr>
          <w:rFonts w:ascii="Montserrat" w:hAnsi="Montserrat"/>
          <w:b w:val="0"/>
          <w:i w:val="0"/>
          <w:color w:val="2D2D2D"/>
          <w:sz w:val="21"/>
        </w:rPr>
        <w:t>An estimate is provisional guidance based on incomplete or customer-entered facts. An approved quote is the current APS price proposal after the operator verifies service, participants, documents, location, timing, delivery, and applicable additions. Label uncertainty honestly and do not present an intake estimate as a final promise.</w:t>
      </w:r>
    </w:p>
    <w:p>
      <w:bookmarkStart w:id="1003" w:name="toc_4"/>
      <w:pPr>
        <w:pStyle w:val="Heading2"/>
      </w:pPr>
      <w:r>
        <w:t>15.2 Facts Required Before Quoting</w:t>
      </w:r>
      <w:bookmarkEnd w:id="1003"/>
    </w:p>
    <w:p>
      <w:pPr>
        <w:spacing w:after="120" w:line="293" w:lineRule="auto"/>
      </w:pPr>
      <w:r>
        <w:rPr>
          <w:rFonts w:ascii="Montserrat" w:hAnsi="Montserrat"/>
          <w:b w:val="0"/>
          <w:i w:val="0"/>
          <w:color w:val="2D2D2D"/>
          <w:sz w:val="21"/>
        </w:rPr>
        <w:t>Verify the customer/orderer, service type, participant count, document scope, requested date/time, delivery method, and any service-specific facts. Missing page count, address, witnesses, platform eligibility, package version, or delivery instructions can block an accurate quote.</w:t>
      </w:r>
    </w:p>
    <w:p>
      <w:bookmarkStart w:id="1004" w:name="toc_5"/>
      <w:pPr>
        <w:pStyle w:val="Heading2"/>
      </w:pPr>
      <w:r>
        <w:t>15.3 Service-Specific Quote Worksheets</w:t>
      </w:r>
      <w:bookmarkEnd w:id="1004"/>
    </w:p>
    <w:tbl>
      <w:tblPr>
        <w:tblW w:type="auto" w:w="0"/>
        <w:tblLayout w:type="fixed"/>
        <w:tblLook w:firstColumn="1" w:firstRow="1" w:lastColumn="0" w:lastRow="0" w:noHBand="0" w:noVBand="1" w:val="04A0"/>
      </w:tblPr>
      <w:tblGrid>
        <w:gridCol w:w="3264"/>
        <w:gridCol w:w="3264"/>
        <w:gridCol w:w="3264"/>
      </w:tblGrid>
      <w:tr>
        <w:trPr>
          <w:tblHeader w:val="true"/>
        </w:trPr>
        <w:tc>
          <w:tcPr>
            <w:tcW w:type="dxa" w:w="3264"/>
            <w:vAlign w:val="center"/>
            <w:tcMar>
              <w:top w:w="100" w:type="dxa"/>
              <w:start w:w="120" w:type="dxa"/>
              <w:bottom w:w="100" w:type="dxa"/>
              <w:end w:w="120" w:type="dxa"/>
            </w:tcMar>
            <w:shd w:fill="161C4D"/>
          </w:tcPr>
          <w:p>
            <w:pPr>
              <w:spacing w:after="0"/>
            </w:pPr>
            <w:r>
              <w:rPr>
                <w:rFonts w:ascii="Montserrat" w:hAnsi="Montserrat"/>
                <w:b/>
                <w:i w:val="0"/>
                <w:color w:val="FFFFFF"/>
                <w:sz w:val="16"/>
              </w:rPr>
              <w:t>Service</w:t>
            </w:r>
          </w:p>
        </w:tc>
        <w:tc>
          <w:tcPr>
            <w:tcW w:type="dxa" w:w="3264"/>
            <w:vAlign w:val="center"/>
            <w:tcMar>
              <w:top w:w="100" w:type="dxa"/>
              <w:start w:w="120" w:type="dxa"/>
              <w:bottom w:w="100" w:type="dxa"/>
              <w:end w:w="120" w:type="dxa"/>
            </w:tcMar>
            <w:shd w:fill="161C4D"/>
          </w:tcPr>
          <w:p>
            <w:pPr>
              <w:spacing w:after="0"/>
            </w:pPr>
            <w:r>
              <w:rPr>
                <w:rFonts w:ascii="Montserrat" w:hAnsi="Montserrat"/>
                <w:b/>
                <w:i w:val="0"/>
                <w:color w:val="FFFFFF"/>
                <w:sz w:val="16"/>
              </w:rPr>
              <w:t>Minimum verified inputs</w:t>
            </w:r>
          </w:p>
        </w:tc>
        <w:tc>
          <w:tcPr>
            <w:tcW w:type="dxa" w:w="3264"/>
            <w:vAlign w:val="center"/>
            <w:tcMar>
              <w:top w:w="100" w:type="dxa"/>
              <w:start w:w="120" w:type="dxa"/>
              <w:bottom w:w="100" w:type="dxa"/>
              <w:end w:w="120" w:type="dxa"/>
            </w:tcMar>
            <w:shd w:fill="161C4D"/>
          </w:tcPr>
          <w:p>
            <w:pPr>
              <w:spacing w:after="0"/>
            </w:pPr>
            <w:r>
              <w:rPr>
                <w:rFonts w:ascii="Montserrat" w:hAnsi="Montserrat"/>
                <w:b/>
                <w:i w:val="0"/>
                <w:color w:val="FFFFFF"/>
                <w:sz w:val="16"/>
              </w:rPr>
              <w:t>Typical blocker</w:t>
            </w:r>
          </w:p>
        </w:tc>
      </w:tr>
      <w:tr>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RON</w:t>
            </w:r>
          </w:p>
        </w:tc>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participants, document, requested act supplied by signer/recipient, appointment and eligibility facts</w:t>
            </w:r>
          </w:p>
        </w:tc>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uncertain act, missing document, participant/platform issue</w:t>
            </w:r>
          </w:p>
        </w:tc>
      </w:tr>
      <w:tr>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Mobile</w:t>
            </w:r>
          </w:p>
        </w:tc>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service address, round-trip travel evidence, acts/signers, witnesses, timing, optional print/scan</w:t>
            </w:r>
          </w:p>
        </w:tc>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unresolved route, location, witness, or document fact</w:t>
            </w:r>
          </w:p>
        </w:tc>
      </w:tr>
      <w:tr>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Print &amp; Scan</w:t>
            </w:r>
          </w:p>
        </w:tc>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authoritative page count, B&amp;W/color, copies, paper, sides, scan/delivery</w:t>
            </w:r>
          </w:p>
        </w:tc>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file does not open or specifications conflict</w:t>
            </w:r>
          </w:p>
        </w:tc>
      </w:tr>
      <w:tr>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Loan Signing</w:t>
            </w:r>
          </w:p>
        </w:tc>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orderer, package type/version, appointment, printing, scanback/return instructions</w:t>
            </w:r>
          </w:p>
        </w:tc>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incomplete assignment or superseded package</w:t>
            </w:r>
          </w:p>
        </w:tc>
      </w:tr>
    </w:tbl>
    <w:p>
      <w:pPr>
        <w:spacing w:after="40"/>
      </w:pPr>
    </w:p>
    <w:p>
      <w:bookmarkStart w:id="1005" w:name="toc_6"/>
      <w:pPr>
        <w:pStyle w:val="Heading2"/>
      </w:pPr>
      <w:r>
        <w:t>15.4 Build and Review in Admin</w:t>
      </w:r>
      <w:bookmarkEnd w:id="1005"/>
    </w:p>
    <w:p>
      <w:pPr>
        <w:spacing w:after="120" w:line="293" w:lineRule="auto"/>
      </w:pPr>
      <w:r>
        <w:rPr>
          <w:rFonts w:ascii="Montserrat" w:hAnsi="Montserrat"/>
          <w:b w:val="0"/>
          <w:i w:val="0"/>
          <w:color w:val="2D2D2D"/>
          <w:sz w:val="21"/>
        </w:rPr>
        <w:t>Open the exact request, confirm the service-detail record, then review each line item against authoritative evidence. Recalculate from current facts, review the customer-safe description, and verify that required taxes, travel, production, delivery, or approved custom items are represented once.</w:t>
      </w:r>
    </w:p>
    <w:p>
      <w:bookmarkStart w:id="1006" w:name="toc_7"/>
      <w:pPr>
        <w:pStyle w:val="Heading2"/>
      </w:pPr>
      <w:r>
        <w:t>15.5 Quote Version and Revision</w:t>
      </w:r>
      <w:bookmarkEnd w:id="1006"/>
    </w:p>
    <w:p>
      <w:pPr>
        <w:spacing w:after="120" w:line="293" w:lineRule="auto"/>
      </w:pPr>
      <w:r>
        <w:rPr>
          <w:rFonts w:ascii="Montserrat" w:hAnsi="Montserrat"/>
          <w:b w:val="0"/>
          <w:i w:val="0"/>
          <w:color w:val="2D2D2D"/>
          <w:sz w:val="21"/>
        </w:rPr>
        <w:t>Preserve quote history. A revised quote becomes a new/current version; it does not erase the version a customer previously reviewed. Revise when material scope, page count, travel, timing, delivery, package, or approved exception changes.</w:t>
      </w:r>
    </w:p>
    <w:p>
      <w:bookmarkStart w:id="1007" w:name="toc_8"/>
      <w:pPr>
        <w:pStyle w:val="Heading2"/>
      </w:pPr>
      <w:r>
        <w:t>15.6 Sending and Customer/Orderer Approval</w:t>
      </w:r>
      <w:bookmarkEnd w:id="1007"/>
    </w:p>
    <w:p>
      <w:pPr>
        <w:spacing w:after="120" w:line="293" w:lineRule="auto"/>
      </w:pPr>
      <w:r>
        <w:rPr>
          <w:rFonts w:ascii="Montserrat" w:hAnsi="Montserrat"/>
          <w:b w:val="0"/>
          <w:i w:val="0"/>
          <w:color w:val="2D2D2D"/>
          <w:sz w:val="21"/>
        </w:rPr>
        <w:t>Send only the current reviewed quote through the maintained communication workflow. Approval must be tied to that version. If an orderer rather than the signer controls the assignment, record the authorized orderer approval without implying signer financial authority.</w:t>
      </w:r>
    </w:p>
    <w:p>
      <w:bookmarkStart w:id="1008" w:name="toc_9"/>
      <w:pPr>
        <w:pStyle w:val="Heading2"/>
      </w:pPr>
      <w:r>
        <w:t>15.7 What Blocks a Quote</w:t>
      </w:r>
      <w:bookmarkEnd w:id="1008"/>
    </w:p>
    <w:p>
      <w:pPr>
        <w:spacing w:after="120" w:line="293" w:lineRule="auto"/>
        <w:ind w:left="216" w:right="144"/>
        <w:shd w:fill="FCE8E6"/>
      </w:pPr>
      <w:r>
        <w:rPr>
          <w:rFonts w:ascii="Montserrat" w:hAnsi="Montserrat"/>
          <w:b/>
          <w:i w:val="0"/>
          <w:color w:val="2D2D2D"/>
          <w:sz w:val="21"/>
        </w:rPr>
        <w:t>STOP —</w:t>
      </w:r>
      <w:r>
        <w:rPr>
          <w:rFonts w:ascii="Montserrat" w:hAnsi="Montserrat"/>
          <w:b w:val="0"/>
          <w:i w:val="0"/>
          <w:color w:val="2D2D2D"/>
          <w:sz w:val="21"/>
        </w:rPr>
        <w:t xml:space="preserve"> Do not finalize a quote when required scope is missing, the source file cannot be verified, the travel route is unresolved, the requested act is unknown, an assignment instruction conflicts, or the price depends on an unauthorized decision.</w:t>
      </w:r>
    </w:p>
    <w:p>
      <w:bookmarkStart w:id="1009" w:name="toc_10"/>
      <w:pPr>
        <w:pStyle w:val="Heading2"/>
      </w:pPr>
      <w:r>
        <w:t>15.8 Quote Audit and History</w:t>
      </w:r>
      <w:bookmarkEnd w:id="1009"/>
    </w:p>
    <w:p>
      <w:pPr>
        <w:spacing w:after="120" w:line="293" w:lineRule="auto"/>
      </w:pPr>
      <w:r>
        <w:rPr>
          <w:rFonts w:ascii="Montserrat" w:hAnsi="Montserrat"/>
          <w:b w:val="0"/>
          <w:i w:val="0"/>
          <w:color w:val="2D2D2D"/>
          <w:sz w:val="21"/>
        </w:rPr>
        <w:t>The record should show the quote version, amount, scope, operator action, delivery attempt/result, approval, and any later revision. Use Messages and Timeline to distinguish “prepared,” “sent,” “approved,” and “superseded.”</w:t>
      </w:r>
    </w:p>
    <w:p>
      <w:bookmarkStart w:id="1010" w:name="toc_11"/>
      <w:pPr>
        <w:pStyle w:val="Heading1"/>
        <w:pageBreakBefore/>
      </w:pPr>
      <w:r>
        <w:t>Chapter 16 — Invoice, Payment &amp; Receipt</w:t>
      </w:r>
      <w:bookmarkEnd w:id="1010"/>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bookmarkStart w:id="1011" w:name="toc_12"/>
      <w:pPr>
        <w:pStyle w:val="Heading2"/>
      </w:pPr>
      <w:r>
        <w:t>16.1 Quote → Invoice → Payment → Receipt</w:t>
      </w:r>
      <w:bookmarkEnd w:id="1011"/>
    </w:p>
    <w:p>
      <w:pPr>
        <w:spacing w:after="120" w:line="293" w:lineRule="auto"/>
      </w:pPr>
      <w:r>
        <w:rPr>
          <w:rFonts w:ascii="Montserrat" w:hAnsi="Montserrat"/>
          <w:b w:val="0"/>
          <w:i w:val="0"/>
          <w:color w:val="2D2D2D"/>
          <w:sz w:val="21"/>
        </w:rPr>
        <w:t>The quote describes approved scope. The invoice requests payment for that scope. A payment records funds applied to a particular invoice. A receipt confirms a recorded payment. These are separate records and none should be inferred from another.</w:t>
      </w:r>
    </w:p>
    <w:p>
      <w:bookmarkStart w:id="1012" w:name="toc_13"/>
      <w:pPr>
        <w:pStyle w:val="Heading2"/>
      </w:pPr>
      <w:r>
        <w:t>16.2 Invoice #1</w:t>
      </w:r>
      <w:bookmarkEnd w:id="1012"/>
    </w:p>
    <w:p>
      <w:pPr>
        <w:spacing w:after="120" w:line="293" w:lineRule="auto"/>
      </w:pPr>
      <w:r>
        <w:rPr>
          <w:rFonts w:ascii="Montserrat" w:hAnsi="Montserrat"/>
          <w:b w:val="0"/>
          <w:i w:val="0"/>
          <w:color w:val="2D2D2D"/>
          <w:sz w:val="21"/>
        </w:rPr>
        <w:t>Create the first invoice only from an approved quote or other authorized billing basis. Verify customer/orderer, amount, due timing, payment terms, and description before delivery.</w:t>
      </w:r>
    </w:p>
    <w:p>
      <w:bookmarkStart w:id="1013" w:name="toc_14"/>
      <w:pPr>
        <w:pStyle w:val="Heading2"/>
      </w:pPr>
      <w:r>
        <w:t>16.3 Supplemental/Final Invoice #2</w:t>
      </w:r>
      <w:bookmarkEnd w:id="1013"/>
    </w:p>
    <w:p>
      <w:pPr>
        <w:spacing w:after="120" w:line="293" w:lineRule="auto"/>
      </w:pPr>
      <w:r>
        <w:rPr>
          <w:rFonts w:ascii="Montserrat" w:hAnsi="Montserrat"/>
          <w:b w:val="0"/>
          <w:i w:val="0"/>
          <w:color w:val="2D2D2D"/>
          <w:sz w:val="21"/>
        </w:rPr>
        <w:t>Use a supplemental invoice for authorized additions such as verified extra pages, travel, optional scans, wait-time review, additional visits, or other approved scope. Preserve Invoice #1 and its payments; do not replace history with one rewritten total.</w:t>
      </w:r>
    </w:p>
    <w:p>
      <w:bookmarkStart w:id="1014" w:name="toc_15"/>
      <w:pPr>
        <w:pStyle w:val="Heading2"/>
      </w:pPr>
      <w:r>
        <w:t>16.4 Card and ACH</w:t>
      </w:r>
      <w:bookmarkEnd w:id="1014"/>
    </w:p>
    <w:p>
      <w:pPr>
        <w:spacing w:after="120" w:line="293" w:lineRule="auto"/>
      </w:pPr>
      <w:r>
        <w:rPr>
          <w:rFonts w:ascii="Montserrat" w:hAnsi="Montserrat"/>
          <w:b w:val="0"/>
          <w:i w:val="0"/>
          <w:color w:val="2D2D2D"/>
          <w:sz w:val="21"/>
        </w:rPr>
        <w:t>Treat the provider result and APS ledger as authority. A customer-reported screenshot or bank statement may prompt review but does not by itself authorize a paid state.</w:t>
      </w:r>
    </w:p>
    <w:p>
      <w:bookmarkStart w:id="1015" w:name="toc_16"/>
      <w:pPr>
        <w:pStyle w:val="Heading2"/>
      </w:pPr>
      <w:r>
        <w:t>16.5 Pending Versus Paid</w:t>
      </w:r>
      <w:bookmarkEnd w:id="1015"/>
    </w:p>
    <w:p>
      <w:pPr>
        <w:spacing w:after="120" w:line="293" w:lineRule="auto"/>
      </w:pPr>
      <w:r>
        <w:rPr>
          <w:rFonts w:ascii="Montserrat" w:hAnsi="Montserrat"/>
          <w:b w:val="0"/>
          <w:i w:val="0"/>
          <w:color w:val="2D2D2D"/>
          <w:sz w:val="21"/>
        </w:rPr>
        <w:t>Pending means the payment is not yet confirmed as settled/accepted by the maintained workflow. Paid requires the provider or authorized manual-payment workflow to record a successful payment against the intended invoice.</w:t>
      </w:r>
    </w:p>
    <w:p>
      <w:bookmarkStart w:id="1016" w:name="toc_17"/>
      <w:pPr>
        <w:pStyle w:val="Heading2"/>
      </w:pPr>
      <w:r>
        <w:t>16.6 Partial Payment</w:t>
      </w:r>
      <w:bookmarkEnd w:id="1016"/>
    </w:p>
    <w:p>
      <w:pPr>
        <w:spacing w:after="120" w:line="293" w:lineRule="auto"/>
      </w:pPr>
      <w:r>
        <w:rPr>
          <w:rFonts w:ascii="Montserrat" w:hAnsi="Montserrat"/>
          <w:b w:val="0"/>
          <w:i w:val="0"/>
          <w:color w:val="2D2D2D"/>
          <w:sz w:val="21"/>
        </w:rPr>
        <w:t>Apply the amount to the correct invoice and retain the remaining balance. Do not mark an invoice or request fully paid merely because some money was received.</w:t>
      </w:r>
    </w:p>
    <w:p>
      <w:bookmarkStart w:id="1017" w:name="toc_18"/>
      <w:pPr>
        <w:pStyle w:val="Heading2"/>
      </w:pPr>
      <w:r>
        <w:t>16.7 Authorized Offline and TEST Payment</w:t>
      </w:r>
      <w:bookmarkEnd w:id="1017"/>
    </w:p>
    <w:p>
      <w:pPr>
        <w:spacing w:after="120" w:line="293" w:lineRule="auto"/>
      </w:pPr>
      <w:r>
        <w:rPr>
          <w:rFonts w:ascii="Montserrat" w:hAnsi="Montserrat"/>
          <w:b w:val="0"/>
          <w:i w:val="0"/>
          <w:color w:val="2D2D2D"/>
          <w:sz w:val="21"/>
        </w:rPr>
        <w:t>Only administrators may use the maintained manual/offline recorder, with the real payment method, amount, date, and unique reference. TEST records are training fixtures only and must never be used on a legitimate request.</w:t>
      </w:r>
    </w:p>
    <w:p>
      <w:bookmarkStart w:id="1018" w:name="toc_19"/>
      <w:pPr>
        <w:pStyle w:val="Heading2"/>
      </w:pPr>
      <w:r>
        <w:t>16.8 Receipt</w:t>
      </w:r>
      <w:bookmarkEnd w:id="1018"/>
    </w:p>
    <w:p>
      <w:pPr>
        <w:spacing w:after="120" w:line="293" w:lineRule="auto"/>
      </w:pPr>
      <w:r>
        <w:rPr>
          <w:rFonts w:ascii="Montserrat" w:hAnsi="Montserrat"/>
          <w:b w:val="0"/>
          <w:i w:val="0"/>
          <w:color w:val="2D2D2D"/>
          <w:sz w:val="21"/>
        </w:rPr>
        <w:t>A receipt follows successful payment recording. Verify amount, invoice relationship, date, and customer-safe destination. A generated receipt does not cure a missing or ambiguous payment record.</w:t>
      </w:r>
    </w:p>
    <w:p>
      <w:bookmarkStart w:id="1019" w:name="toc_20"/>
      <w:pPr>
        <w:pStyle w:val="Heading2"/>
      </w:pPr>
      <w:r>
        <w:t>16.9 Reconciliation and Duplicate Prevention</w:t>
      </w:r>
      <w:bookmarkEnd w:id="1019"/>
    </w:p>
    <w:p>
      <w:pPr>
        <w:spacing w:after="120" w:line="293" w:lineRule="auto"/>
      </w:pPr>
      <w:r>
        <w:rPr>
          <w:rFonts w:ascii="Montserrat" w:hAnsi="Montserrat"/>
          <w:b w:val="0"/>
          <w:i w:val="0"/>
          <w:color w:val="2D2D2D"/>
          <w:sz w:val="21"/>
        </w:rPr>
        <w:t>Before retrying, compare invoice balance, existing payments, provider reference, communication history, and Timeline. Reuse the maintained idempotent path; never create another payment merely because a screen response was slow.</w:t>
      </w:r>
    </w:p>
    <w:p>
      <w:bookmarkStart w:id="1020" w:name="toc_21"/>
      <w:pPr>
        <w:pStyle w:val="Heading2"/>
      </w:pPr>
      <w:r>
        <w:t>16.10 Never Rewrite a Paid Invoice</w:t>
      </w:r>
      <w:bookmarkEnd w:id="1020"/>
    </w:p>
    <w:p>
      <w:pPr>
        <w:spacing w:after="120" w:line="293" w:lineRule="auto"/>
      </w:pPr>
      <w:r>
        <w:rPr>
          <w:rFonts w:ascii="Montserrat" w:hAnsi="Montserrat"/>
          <w:b/>
          <w:i w:val="0"/>
          <w:color w:val="2D2D2D"/>
          <w:sz w:val="21"/>
        </w:rPr>
        <w:t>OPERATOR RULE —</w:t>
      </w:r>
      <w:r>
        <w:rPr>
          <w:rFonts w:ascii="Montserrat" w:hAnsi="Montserrat"/>
          <w:b w:val="0"/>
          <w:i w:val="0"/>
          <w:color w:val="2D2D2D"/>
          <w:sz w:val="21"/>
        </w:rPr>
        <w:t xml:space="preserve"> Preserve the paid invoice. Bill legitimate later scope through a supplemental invoice or follow the authorized refund/correction workflow.</w:t>
      </w:r>
    </w:p>
    <w:p>
      <w:bookmarkStart w:id="1021" w:name="toc_22"/>
      <w:pPr>
        <w:pStyle w:val="Heading1"/>
        <w:pageBreakBefore/>
      </w:pPr>
      <w:r>
        <w:t>Chapter 17 — Refunds, Business Terms &amp; Financial Gates</w:t>
      </w:r>
      <w:bookmarkEnd w:id="1021"/>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bookmarkStart w:id="1022" w:name="toc_23"/>
      <w:pPr>
        <w:pStyle w:val="Heading2"/>
      </w:pPr>
      <w:r>
        <w:t>17.1 Refund Review Versus Completed Refund</w:t>
      </w:r>
      <w:bookmarkEnd w:id="1022"/>
    </w:p>
    <w:p>
      <w:pPr>
        <w:spacing w:after="120" w:line="293" w:lineRule="auto"/>
      </w:pPr>
      <w:r>
        <w:rPr>
          <w:rFonts w:ascii="Montserrat" w:hAnsi="Montserrat"/>
          <w:b w:val="0"/>
          <w:i w:val="0"/>
          <w:color w:val="2D2D2D"/>
          <w:sz w:val="21"/>
        </w:rPr>
        <w:t>A request for review, an approved decision, a provider request, and a completed refund are different states. Tell the customer only what the authoritative record supports.</w:t>
      </w:r>
    </w:p>
    <w:p>
      <w:bookmarkStart w:id="1023" w:name="toc_24"/>
      <w:pPr>
        <w:pStyle w:val="Heading2"/>
      </w:pPr>
      <w:r>
        <w:t>17.2 Partial/Full and Retained Amount</w:t>
      </w:r>
      <w:bookmarkEnd w:id="1023"/>
    </w:p>
    <w:p>
      <w:pPr>
        <w:spacing w:after="120" w:line="293" w:lineRule="auto"/>
      </w:pPr>
      <w:r>
        <w:rPr>
          <w:rFonts w:ascii="Montserrat" w:hAnsi="Montserrat"/>
          <w:b w:val="0"/>
          <w:i w:val="0"/>
          <w:color w:val="2D2D2D"/>
          <w:sz w:val="21"/>
        </w:rPr>
        <w:t>Document the original charge, amount proposed for refund, amount retained, reason, and authorization. Never calculate or promise a discretionary result without administrator approval.</w:t>
      </w:r>
    </w:p>
    <w:p>
      <w:bookmarkStart w:id="1024" w:name="toc_25"/>
      <w:pPr>
        <w:pStyle w:val="Heading2"/>
      </w:pPr>
      <w:r>
        <w:t>17.3 Original Payment Relationship</w:t>
      </w:r>
      <w:bookmarkEnd w:id="1024"/>
    </w:p>
    <w:p>
      <w:pPr>
        <w:spacing w:after="120" w:line="293" w:lineRule="auto"/>
      </w:pPr>
      <w:r>
        <w:rPr>
          <w:rFonts w:ascii="Montserrat" w:hAnsi="Montserrat"/>
          <w:b w:val="0"/>
          <w:i w:val="0"/>
          <w:color w:val="2D2D2D"/>
          <w:sz w:val="21"/>
        </w:rPr>
        <w:t>Link the refund to the original payment and invoice. This preserves the remaining paid amount, invoice history, provider reference, and customer receipt trail.</w:t>
      </w:r>
    </w:p>
    <w:p>
      <w:bookmarkStart w:id="1025" w:name="toc_26"/>
      <w:pPr>
        <w:pStyle w:val="Heading2"/>
      </w:pPr>
      <w:r>
        <w:t>17.4 Failed or Ambiguous Provider State</w:t>
      </w:r>
      <w:bookmarkEnd w:id="1025"/>
    </w:p>
    <w:p>
      <w:pPr>
        <w:spacing w:after="120" w:line="293" w:lineRule="auto"/>
      </w:pPr>
      <w:r>
        <w:rPr>
          <w:rFonts w:ascii="Montserrat" w:hAnsi="Montserrat"/>
          <w:b w:val="0"/>
          <w:i w:val="0"/>
          <w:color w:val="2D2D2D"/>
          <w:sz w:val="21"/>
        </w:rPr>
        <w:t>Pause when the provider response is missing or contradictory. Reconcile before retrying. Do not represent money as returned until the maintained provider/ledger evidence supports completion.</w:t>
      </w:r>
    </w:p>
    <w:p>
      <w:bookmarkStart w:id="1026" w:name="toc_27"/>
      <w:pPr>
        <w:pStyle w:val="Heading2"/>
      </w:pPr>
      <w:r>
        <w:t>17.5 Prepaid, Due on Receipt, Net 15, and Net 30</w:t>
      </w:r>
      <w:bookmarkEnd w:id="1026"/>
    </w:p>
    <w:p>
      <w:pPr>
        <w:spacing w:after="120" w:line="293" w:lineRule="auto"/>
      </w:pPr>
      <w:r>
        <w:rPr>
          <w:rFonts w:ascii="Montserrat" w:hAnsi="Montserrat"/>
          <w:b w:val="0"/>
          <w:i w:val="0"/>
          <w:color w:val="2D2D2D"/>
          <w:sz w:val="21"/>
        </w:rPr>
        <w:t>Prepaid work requires payment before the applicable fulfillment gate. Due on Receipt creates an immediate receivable. Net 15 and Net 30 create approved postpaid due dates. Terms affect timing, not the need for accurate invoices, payment records, or credit controls.</w:t>
      </w:r>
    </w:p>
    <w:p>
      <w:bookmarkStart w:id="1027" w:name="toc_28"/>
      <w:pPr>
        <w:pStyle w:val="Heading2"/>
      </w:pPr>
      <w:r>
        <w:t>17.6 Who Assigns Terms</w:t>
      </w:r>
      <w:bookmarkEnd w:id="1027"/>
    </w:p>
    <w:p>
      <w:pPr>
        <w:spacing w:after="120" w:line="293" w:lineRule="auto"/>
      </w:pPr>
      <w:r>
        <w:rPr>
          <w:rFonts w:ascii="Montserrat" w:hAnsi="Montserrat"/>
          <w:b w:val="0"/>
          <w:i w:val="0"/>
          <w:color w:val="2D2D2D"/>
          <w:sz w:val="21"/>
        </w:rPr>
        <w:t>Only authorized APS administrators assign or change Business Account terms. Applicants and members cannot self-grant credit.</w:t>
      </w:r>
    </w:p>
    <w:p>
      <w:bookmarkStart w:id="1028" w:name="toc_29"/>
      <w:pPr>
        <w:pStyle w:val="Heading2"/>
      </w:pPr>
      <w:r>
        <w:t>17.7 Credit Hold</w:t>
      </w:r>
      <w:bookmarkEnd w:id="1028"/>
    </w:p>
    <w:p>
      <w:pPr>
        <w:spacing w:after="120" w:line="293" w:lineRule="auto"/>
      </w:pPr>
      <w:r>
        <w:rPr>
          <w:rFonts w:ascii="Montserrat" w:hAnsi="Montserrat"/>
          <w:b w:val="0"/>
          <w:i w:val="0"/>
          <w:color w:val="2D2D2D"/>
          <w:sz w:val="21"/>
        </w:rPr>
        <w:t>A credit hold blocks new work or advancement according to maintained Business rules. Do not bypass it because the requester is familiar, urgent, or promises later payment.</w:t>
      </w:r>
    </w:p>
    <w:p>
      <w:bookmarkStart w:id="1029" w:name="toc_30"/>
      <w:pPr>
        <w:pStyle w:val="Heading2"/>
      </w:pPr>
      <w:r>
        <w:t>17.8 Postpaid Completion and Open Receivable</w:t>
      </w:r>
      <w:bookmarkEnd w:id="1029"/>
    </w:p>
    <w:p>
      <w:pPr>
        <w:spacing w:after="120" w:line="293" w:lineRule="auto"/>
      </w:pPr>
      <w:r>
        <w:rPr>
          <w:rFonts w:ascii="Montserrat" w:hAnsi="Montserrat"/>
          <w:b w:val="0"/>
          <w:i w:val="0"/>
          <w:color w:val="2D2D2D"/>
          <w:sz w:val="21"/>
        </w:rPr>
        <w:t>Authorized postpaid work may be operationally complete while an invoice remains open. Record completion evidence and preserve the receivable; do not falsify paid status.</w:t>
      </w:r>
    </w:p>
    <w:p>
      <w:bookmarkStart w:id="1030" w:name="toc_31"/>
      <w:pPr>
        <w:pStyle w:val="Heading2"/>
      </w:pPr>
      <w:r>
        <w:t>17.9 Prohibited Shortcuts</w:t>
      </w:r>
      <w:bookmarkEnd w:id="1030"/>
    </w:p>
    <w:p>
      <w:pPr>
        <w:pStyle w:val="ListBullet"/>
        <w:spacing w:after="120" w:line="293" w:lineRule="auto"/>
      </w:pPr>
      <w:r>
        <w:rPr>
          <w:rFonts w:ascii="Montserrat" w:hAnsi="Montserrat"/>
          <w:b w:val="0"/>
          <w:i w:val="0"/>
          <w:color w:val="2D2D2D"/>
          <w:sz w:val="21"/>
        </w:rPr>
        <w:t>Do not fabricate payment, refund, waiver, or credit evidence.</w:t>
      </w:r>
    </w:p>
    <w:p>
      <w:pPr>
        <w:pStyle w:val="ListBullet"/>
        <w:spacing w:after="120" w:line="293" w:lineRule="auto"/>
      </w:pPr>
      <w:r>
        <w:rPr>
          <w:rFonts w:ascii="Montserrat" w:hAnsi="Montserrat"/>
          <w:b w:val="0"/>
          <w:i w:val="0"/>
          <w:color w:val="2D2D2D"/>
          <w:sz w:val="21"/>
        </w:rPr>
        <w:t>Do not delete paid invoices or prior balances.</w:t>
      </w:r>
    </w:p>
    <w:p>
      <w:pPr>
        <w:pStyle w:val="ListBullet"/>
        <w:spacing w:after="120" w:line="293" w:lineRule="auto"/>
      </w:pPr>
      <w:r>
        <w:rPr>
          <w:rFonts w:ascii="Montserrat" w:hAnsi="Montserrat"/>
          <w:b w:val="0"/>
          <w:i w:val="0"/>
          <w:color w:val="2D2D2D"/>
          <w:sz w:val="21"/>
        </w:rPr>
        <w:t>Do not use a status change to simulate money movement.</w:t>
      </w:r>
    </w:p>
    <w:p>
      <w:pPr>
        <w:pStyle w:val="ListBullet"/>
        <w:spacing w:after="120" w:line="293" w:lineRule="auto"/>
      </w:pPr>
      <w:r>
        <w:rPr>
          <w:rFonts w:ascii="Montserrat" w:hAnsi="Montserrat"/>
          <w:b w:val="0"/>
          <w:i w:val="0"/>
          <w:color w:val="2D2D2D"/>
          <w:sz w:val="21"/>
        </w:rPr>
        <w:t>Do not disclose internal provider errors to the customer.</w:t>
      </w:r>
    </w:p>
    <w:p>
      <w:bookmarkStart w:id="1031" w:name="toc_32"/>
      <w:pPr>
        <w:pStyle w:val="Heading2"/>
      </w:pPr>
      <w:r>
        <w:t>17.10 Financial Decision Table and Escalation</w:t>
      </w:r>
      <w:bookmarkEnd w:id="1031"/>
    </w:p>
    <w:tbl>
      <w:tblPr>
        <w:tblW w:type="auto" w:w="0"/>
        <w:tblLayout w:type="fixed"/>
        <w:tblLook w:firstColumn="1" w:firstRow="1" w:lastColumn="0" w:lastRow="0" w:noHBand="0" w:noVBand="1" w:val="04A0"/>
      </w:tblPr>
      <w:tblGrid>
        <w:gridCol w:w="3264"/>
        <w:gridCol w:w="3264"/>
        <w:gridCol w:w="3264"/>
      </w:tblGrid>
      <w:tr>
        <w:trPr>
          <w:tblHeader w:val="true"/>
        </w:trPr>
        <w:tc>
          <w:tcPr>
            <w:tcW w:type="dxa" w:w="3264"/>
            <w:vAlign w:val="center"/>
            <w:tcMar>
              <w:top w:w="100" w:type="dxa"/>
              <w:start w:w="120" w:type="dxa"/>
              <w:bottom w:w="100" w:type="dxa"/>
              <w:end w:w="120" w:type="dxa"/>
            </w:tcMar>
            <w:shd w:fill="161C4D"/>
          </w:tcPr>
          <w:p>
            <w:pPr>
              <w:spacing w:after="0"/>
            </w:pPr>
            <w:r>
              <w:rPr>
                <w:rFonts w:ascii="Montserrat" w:hAnsi="Montserrat"/>
                <w:b/>
                <w:i w:val="0"/>
                <w:color w:val="FFFFFF"/>
                <w:sz w:val="16"/>
              </w:rPr>
              <w:t>Condition</w:t>
            </w:r>
          </w:p>
        </w:tc>
        <w:tc>
          <w:tcPr>
            <w:tcW w:type="dxa" w:w="3264"/>
            <w:vAlign w:val="center"/>
            <w:tcMar>
              <w:top w:w="100" w:type="dxa"/>
              <w:start w:w="120" w:type="dxa"/>
              <w:bottom w:w="100" w:type="dxa"/>
              <w:end w:w="120" w:type="dxa"/>
            </w:tcMar>
            <w:shd w:fill="161C4D"/>
          </w:tcPr>
          <w:p>
            <w:pPr>
              <w:spacing w:after="0"/>
            </w:pPr>
            <w:r>
              <w:rPr>
                <w:rFonts w:ascii="Montserrat" w:hAnsi="Montserrat"/>
                <w:b/>
                <w:i w:val="0"/>
                <w:color w:val="FFFFFF"/>
                <w:sz w:val="16"/>
              </w:rPr>
              <w:t>Operator action</w:t>
            </w:r>
          </w:p>
        </w:tc>
        <w:tc>
          <w:tcPr>
            <w:tcW w:type="dxa" w:w="3264"/>
            <w:vAlign w:val="center"/>
            <w:tcMar>
              <w:top w:w="100" w:type="dxa"/>
              <w:start w:w="120" w:type="dxa"/>
              <w:bottom w:w="100" w:type="dxa"/>
              <w:end w:w="120" w:type="dxa"/>
            </w:tcMar>
            <w:shd w:fill="161C4D"/>
          </w:tcPr>
          <w:p>
            <w:pPr>
              <w:spacing w:after="0"/>
            </w:pPr>
            <w:r>
              <w:rPr>
                <w:rFonts w:ascii="Montserrat" w:hAnsi="Montserrat"/>
                <w:b/>
                <w:i w:val="0"/>
                <w:color w:val="FFFFFF"/>
                <w:sz w:val="16"/>
              </w:rPr>
              <w:t>Do not advance until</w:t>
            </w:r>
          </w:p>
        </w:tc>
      </w:tr>
      <w:tr>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Prepaid balance due</w:t>
            </w:r>
          </w:p>
        </w:tc>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send/confirm maintained invoice</w:t>
            </w:r>
          </w:p>
        </w:tc>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paid evidence exists</w:t>
            </w:r>
          </w:p>
        </w:tc>
      </w:tr>
      <w:tr>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Partial payment</w:t>
            </w:r>
          </w:p>
        </w:tc>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preserve applied amount and balance</w:t>
            </w:r>
          </w:p>
        </w:tc>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required balance gate is satisfied</w:t>
            </w:r>
          </w:p>
        </w:tc>
      </w:tr>
      <w:tr>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Refund under review</w:t>
            </w:r>
          </w:p>
        </w:tc>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record facts and escalate</w:t>
            </w:r>
          </w:p>
        </w:tc>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decision and provider result are known</w:t>
            </w:r>
          </w:p>
        </w:tc>
      </w:tr>
      <w:tr>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Postpaid in good standing</w:t>
            </w:r>
          </w:p>
        </w:tc>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perform authorized work</w:t>
            </w:r>
          </w:p>
        </w:tc>
        <w:tc>
          <w:tcPr>
            <w:tcW w:type="dxa" w:w="3264"/>
            <w:vAlign w:val="center"/>
            <w:tcMar>
              <w:top w:w="100" w:type="dxa"/>
              <w:start w:w="120" w:type="dxa"/>
              <w:bottom w:w="100" w:type="dxa"/>
              <w:end w:w="120" w:type="dxa"/>
            </w:tcMar>
            <w:shd w:fill="F6F3EE"/>
          </w:tcPr>
          <w:p>
            <w:pPr>
              <w:spacing w:after="0"/>
            </w:pPr>
            <w:r>
              <w:rPr>
                <w:rFonts w:ascii="Montserrat" w:hAnsi="Montserrat"/>
                <w:b w:val="0"/>
                <w:i w:val="0"/>
                <w:color w:val="2D2D2D"/>
                <w:sz w:val="16"/>
              </w:rPr>
              <w:t>nonfinancial gates pass</w:t>
            </w:r>
          </w:p>
        </w:tc>
      </w:tr>
      <w:tr>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Credit hold</w:t>
            </w:r>
          </w:p>
        </w:tc>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notify through approved channel</w:t>
            </w:r>
          </w:p>
        </w:tc>
        <w:tc>
          <w:tcPr>
            <w:tcW w:type="dxa" w:w="3264"/>
            <w:vAlign w:val="center"/>
            <w:tcMar>
              <w:top w:w="100" w:type="dxa"/>
              <w:start w:w="120" w:type="dxa"/>
              <w:bottom w:w="100" w:type="dxa"/>
              <w:end w:w="120" w:type="dxa"/>
            </w:tcMar>
            <w:shd w:fill="FFFFFF"/>
          </w:tcPr>
          <w:p>
            <w:pPr>
              <w:spacing w:after="0"/>
            </w:pPr>
            <w:r>
              <w:rPr>
                <w:rFonts w:ascii="Montserrat" w:hAnsi="Montserrat"/>
                <w:b w:val="0"/>
                <w:i w:val="0"/>
                <w:color w:val="2D2D2D"/>
                <w:sz w:val="16"/>
              </w:rPr>
              <w:t>administrator clears hold</w:t>
            </w:r>
          </w:p>
        </w:tc>
      </w:tr>
    </w:tbl>
    <w:p>
      <w:pPr>
        <w:spacing w:after="40"/>
      </w:pPr>
    </w:p>
    <w:p>
      <w:r>
        <w:br w:type="page"/>
      </w:r>
    </w:p>
    <w:p>
      <w:bookmarkStart w:id="1032" w:name="toc_33"/>
      <w:pPr>
        <w:pStyle w:val="Title"/>
      </w:pPr>
      <w:r>
        <w:t>PART VI — REMOTE ONLINE NOTARIZATION</w:t>
      </w:r>
      <w:bookmarkEnd w:id="1032"/>
    </w:p>
    <w:p>
      <w:bookmarkStart w:id="1033" w:name="toc_34"/>
      <w:pPr>
        <w:pStyle w:val="Heading1"/>
        <w:pageBreakBefore/>
      </w:pPr>
      <w:r>
        <w:t>Chapter 18 — Remote Online Notary Foundations &amp; Workflow</w:t>
      </w:r>
      <w:bookmarkEnd w:id="1033"/>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pPr>
        <w:jc w:val="center"/>
      </w:pPr>
      <w:r>
        <w:drawing>
          <wp:inline xmlns:a="http://schemas.openxmlformats.org/drawingml/2006/main" xmlns:pic="http://schemas.openxmlformats.org/drawingml/2006/picture">
            <wp:extent cx="5760720" cy="1613002"/>
            <wp:docPr id="1" name="Picture 1" descr="Remote Online Notary Workflow Map with connected workflow steps and decision gates"/>
            <wp:cNvGraphicFramePr>
              <a:graphicFrameLocks noChangeAspect="1"/>
            </wp:cNvGraphicFramePr>
            <a:graphic>
              <a:graphicData uri="http://schemas.openxmlformats.org/drawingml/2006/picture">
                <pic:pic>
                  <pic:nvPicPr>
                    <pic:cNvPr id="0" name="fig-15-ron-workflow.png"/>
                    <pic:cNvPicPr/>
                  </pic:nvPicPr>
                  <pic:blipFill>
                    <a:blip r:embed="rId11"/>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Remote Online Notary Workflow Map</w:t>
      </w:r>
    </w:p>
    <w:p>
      <w:bookmarkStart w:id="1034" w:name="toc_35"/>
      <w:pPr>
        <w:pStyle w:val="Heading2"/>
      </w:pPr>
      <w:r>
        <w:t>18.1 APS-Originated RON Powered by Proof</w:t>
      </w:r>
      <w:bookmarkEnd w:id="1034"/>
    </w:p>
    <w:p>
      <w:pPr>
        <w:spacing w:after="120" w:line="293" w:lineRule="auto"/>
      </w:pPr>
      <w:r>
        <w:rPr>
          <w:rFonts w:ascii="Montserrat" w:hAnsi="Montserrat"/>
          <w:b w:val="0"/>
          <w:i w:val="0"/>
          <w:color w:val="2D2D2D"/>
          <w:sz w:val="21"/>
        </w:rPr>
        <w:t>APS owns the customer request, quote, payment, appointment, operator review, customer-safe communication, document review, release, and closeout. Proof supplies the controlled identity, audio-video, transaction, and provider-completed-document functions.</w:t>
      </w:r>
    </w:p>
    <w:p>
      <w:bookmarkStart w:id="1035" w:name="toc_36"/>
      <w:pPr>
        <w:pStyle w:val="Heading2"/>
      </w:pPr>
      <w:r>
        <w:t>18.2 Texas Operator Boundaries</w:t>
      </w:r>
      <w:bookmarkEnd w:id="1035"/>
    </w:p>
    <w:p>
      <w:pPr>
        <w:spacing w:after="120" w:line="293" w:lineRule="auto"/>
      </w:pPr>
      <w:r>
        <w:rPr>
          <w:rFonts w:ascii="Montserrat" w:hAnsi="Montserrat"/>
          <w:b w:val="0"/>
          <w:i w:val="0"/>
          <w:color w:val="2D2D2D"/>
          <w:sz w:val="21"/>
        </w:rPr>
        <w:t>The online notary must follow Texas authority and be physically located as required. The operator does not give legal advice, select a notarial act for the signer, determine a document’s legal effect, or promise acceptance by a receiving party.</w:t>
      </w:r>
    </w:p>
    <w:p>
      <w:bookmarkStart w:id="1036" w:name="toc_37"/>
      <w:pPr>
        <w:pStyle w:val="Heading2"/>
      </w:pPr>
      <w:r>
        <w:t>18.3 Readiness Domains</w:t>
      </w:r>
      <w:bookmarkEnd w:id="1036"/>
    </w:p>
    <w:p>
      <w:pPr>
        <w:spacing w:after="120" w:line="293" w:lineRule="auto"/>
      </w:pPr>
      <w:r>
        <w:rPr>
          <w:rFonts w:ascii="Montserrat" w:hAnsi="Montserrat"/>
          <w:b w:val="0"/>
          <w:i w:val="0"/>
          <w:color w:val="2D2D2D"/>
          <w:sz w:val="21"/>
        </w:rPr>
        <w:t>Confirm participant, document, identity-process, technology, appointment, financial, and delivery readiness separately. “Appointment scheduled” does not mean all other domains are ready.</w:t>
      </w:r>
    </w:p>
    <w:p>
      <w:bookmarkStart w:id="1037" w:name="toc_38"/>
      <w:pPr>
        <w:pStyle w:val="Heading2"/>
      </w:pPr>
      <w:r>
        <w:t>18.4 What APS Controls and What Proof Controls</w:t>
      </w:r>
      <w:bookmarkEnd w:id="1037"/>
    </w:p>
    <w:tbl>
      <w:tblPr>
        <w:tblW w:type="auto" w:w="0"/>
        <w:tblLayout w:type="fixed"/>
        <w:tblLook w:firstColumn="1" w:firstRow="1" w:lastColumn="0" w:lastRow="0" w:noHBand="0" w:noVBand="1" w:val="04A0"/>
      </w:tblPr>
      <w:tblGrid>
        <w:gridCol w:w="4896"/>
        <w:gridCol w:w="4896"/>
      </w:tblGrid>
      <w:tr>
        <w:trPr>
          <w:tblHeader w:val="true"/>
        </w:trPr>
        <w:tc>
          <w:tcPr>
            <w:tcW w:type="dxa" w:w="4896"/>
            <w:vAlign w:val="center"/>
            <w:tcMar>
              <w:top w:w="100" w:type="dxa"/>
              <w:start w:w="120" w:type="dxa"/>
              <w:bottom w:w="100" w:type="dxa"/>
              <w:end w:w="120" w:type="dxa"/>
            </w:tcMar>
            <w:shd w:fill="161C4D"/>
          </w:tcPr>
          <w:p>
            <w:pPr>
              <w:spacing w:after="0"/>
            </w:pPr>
            <w:r>
              <w:rPr>
                <w:rFonts w:ascii="Montserrat" w:hAnsi="Montserrat"/>
                <w:b/>
                <w:i w:val="0"/>
                <w:color w:val="FFFFFF"/>
                <w:sz w:val="16"/>
              </w:rPr>
              <w:t>APS controls</w:t>
            </w:r>
          </w:p>
        </w:tc>
        <w:tc>
          <w:tcPr>
            <w:tcW w:type="dxa" w:w="4896"/>
            <w:vAlign w:val="center"/>
            <w:tcMar>
              <w:top w:w="100" w:type="dxa"/>
              <w:start w:w="120" w:type="dxa"/>
              <w:bottom w:w="100" w:type="dxa"/>
              <w:end w:w="120" w:type="dxa"/>
            </w:tcMar>
            <w:shd w:fill="161C4D"/>
          </w:tcPr>
          <w:p>
            <w:pPr>
              <w:spacing w:after="0"/>
            </w:pPr>
            <w:r>
              <w:rPr>
                <w:rFonts w:ascii="Montserrat" w:hAnsi="Montserrat"/>
                <w:b/>
                <w:i w:val="0"/>
                <w:color w:val="FFFFFF"/>
                <w:sz w:val="16"/>
              </w:rPr>
              <w:t>Proof controls</w:t>
            </w:r>
          </w:p>
        </w:tc>
      </w:tr>
      <w:tr>
        <w:tc>
          <w:tcPr>
            <w:tcW w:type="dxa" w:w="4896"/>
            <w:vAlign w:val="center"/>
            <w:tcMar>
              <w:top w:w="100" w:type="dxa"/>
              <w:start w:w="120" w:type="dxa"/>
              <w:bottom w:w="100" w:type="dxa"/>
              <w:end w:w="120" w:type="dxa"/>
            </w:tcMar>
            <w:shd w:fill="FFFFFF"/>
          </w:tcPr>
          <w:p>
            <w:pPr>
              <w:spacing w:after="0"/>
            </w:pPr>
            <w:r>
              <w:rPr>
                <w:rFonts w:ascii="Montserrat" w:hAnsi="Montserrat"/>
                <w:b w:val="0"/>
                <w:i w:val="0"/>
                <w:color w:val="2D2D2D"/>
                <w:sz w:val="16"/>
              </w:rPr>
              <w:t>request, scope, quote, payment, appointment</w:t>
            </w:r>
          </w:p>
        </w:tc>
        <w:tc>
          <w:tcPr>
            <w:tcW w:type="dxa" w:w="4896"/>
            <w:vAlign w:val="center"/>
            <w:tcMar>
              <w:top w:w="100" w:type="dxa"/>
              <w:start w:w="120" w:type="dxa"/>
              <w:bottom w:w="100" w:type="dxa"/>
              <w:end w:w="120" w:type="dxa"/>
            </w:tcMar>
            <w:shd w:fill="FFFFFF"/>
          </w:tcPr>
          <w:p>
            <w:pPr>
              <w:spacing w:after="0"/>
            </w:pPr>
            <w:r>
              <w:rPr>
                <w:rFonts w:ascii="Montserrat" w:hAnsi="Montserrat"/>
                <w:b w:val="0"/>
                <w:i w:val="0"/>
                <w:color w:val="2D2D2D"/>
                <w:sz w:val="16"/>
              </w:rPr>
              <w:t>provider transaction and signer access</w:t>
            </w:r>
          </w:p>
        </w:tc>
      </w:tr>
      <w:tr>
        <w:tc>
          <w:tcPr>
            <w:tcW w:type="dxa" w:w="4896"/>
            <w:vAlign w:val="center"/>
            <w:tcMar>
              <w:top w:w="100" w:type="dxa"/>
              <w:start w:w="120" w:type="dxa"/>
              <w:bottom w:w="100" w:type="dxa"/>
              <w:end w:w="120" w:type="dxa"/>
            </w:tcMar>
            <w:shd w:fill="F6F3EE"/>
          </w:tcPr>
          <w:p>
            <w:pPr>
              <w:spacing w:after="0"/>
            </w:pPr>
            <w:r>
              <w:rPr>
                <w:rFonts w:ascii="Montserrat" w:hAnsi="Montserrat"/>
                <w:b w:val="0"/>
                <w:i w:val="0"/>
                <w:color w:val="2D2D2D"/>
                <w:sz w:val="16"/>
              </w:rPr>
              <w:t>participant mapping and readiness review</w:t>
            </w:r>
          </w:p>
        </w:tc>
        <w:tc>
          <w:tcPr>
            <w:tcW w:type="dxa" w:w="4896"/>
            <w:vAlign w:val="center"/>
            <w:tcMar>
              <w:top w:w="100" w:type="dxa"/>
              <w:start w:w="120" w:type="dxa"/>
              <w:bottom w:w="100" w:type="dxa"/>
              <w:end w:w="120" w:type="dxa"/>
            </w:tcMar>
            <w:shd w:fill="F6F3EE"/>
          </w:tcPr>
          <w:p>
            <w:pPr>
              <w:spacing w:after="0"/>
            </w:pPr>
            <w:r>
              <w:rPr>
                <w:rFonts w:ascii="Montserrat" w:hAnsi="Montserrat"/>
                <w:b w:val="0"/>
                <w:i w:val="0"/>
                <w:color w:val="2D2D2D"/>
                <w:sz w:val="16"/>
              </w:rPr>
              <w:t>credential analysis/KBA result and platform flow</w:t>
            </w:r>
          </w:p>
        </w:tc>
      </w:tr>
      <w:tr>
        <w:tc>
          <w:tcPr>
            <w:tcW w:type="dxa" w:w="4896"/>
            <w:vAlign w:val="center"/>
            <w:tcMar>
              <w:top w:w="100" w:type="dxa"/>
              <w:start w:w="120" w:type="dxa"/>
              <w:bottom w:w="100" w:type="dxa"/>
              <w:end w:w="120" w:type="dxa"/>
            </w:tcMar>
            <w:shd w:fill="FFFFFF"/>
          </w:tcPr>
          <w:p>
            <w:pPr>
              <w:spacing w:after="0"/>
            </w:pPr>
            <w:r>
              <w:rPr>
                <w:rFonts w:ascii="Montserrat" w:hAnsi="Montserrat"/>
                <w:b w:val="0"/>
                <w:i w:val="0"/>
                <w:color w:val="2D2D2D"/>
                <w:sz w:val="16"/>
              </w:rPr>
              <w:t>operator return review and customer release</w:t>
            </w:r>
          </w:p>
        </w:tc>
        <w:tc>
          <w:tcPr>
            <w:tcW w:type="dxa" w:w="4896"/>
            <w:vAlign w:val="center"/>
            <w:tcMar>
              <w:top w:w="100" w:type="dxa"/>
              <w:start w:w="120" w:type="dxa"/>
              <w:bottom w:w="100" w:type="dxa"/>
              <w:end w:w="120" w:type="dxa"/>
            </w:tcMar>
            <w:shd w:fill="FFFFFF"/>
          </w:tcPr>
          <w:p>
            <w:pPr>
              <w:spacing w:after="0"/>
            </w:pPr>
            <w:r>
              <w:rPr>
                <w:rFonts w:ascii="Montserrat" w:hAnsi="Montserrat"/>
                <w:b w:val="0"/>
                <w:i w:val="0"/>
                <w:color w:val="2D2D2D"/>
                <w:sz w:val="16"/>
              </w:rPr>
              <w:t>audio-video session and provider-completed asset</w:t>
            </w:r>
          </w:p>
        </w:tc>
      </w:tr>
    </w:tbl>
    <w:p>
      <w:pPr>
        <w:spacing w:after="40"/>
      </w:pPr>
    </w:p>
    <w:p>
      <w:bookmarkStart w:id="1038" w:name="toc_39"/>
      <w:pPr>
        <w:pStyle w:val="Heading2"/>
      </w:pPr>
      <w:r>
        <w:t>18.5 KBA, Identity, Meeting, and Privacy Boundaries</w:t>
      </w:r>
      <w:bookmarkEnd w:id="1038"/>
    </w:p>
    <w:p>
      <w:pPr>
        <w:spacing w:after="120" w:line="293" w:lineRule="auto"/>
      </w:pPr>
      <w:r>
        <w:rPr>
          <w:rFonts w:ascii="Montserrat" w:hAnsi="Montserrat"/>
          <w:b w:val="0"/>
          <w:i w:val="0"/>
          <w:color w:val="2D2D2D"/>
          <w:sz w:val="21"/>
        </w:rPr>
        <w:t>Never ask for, coach, store, or repeat KBA answers. Do not copy credential numbers into ordinary notes. Use the provider result and approved session. Stop when identity, willingness, awareness, location, technology, or continuous audio-video cannot be established.</w:t>
      </w:r>
    </w:p>
    <w:p>
      <w:bookmarkStart w:id="1039" w:name="toc_40"/>
      <w:pPr>
        <w:pStyle w:val="Heading2"/>
      </w:pPr>
      <w:r>
        <w:t>18.6 Remote Online Notary Workflow Map</w:t>
      </w:r>
      <w:bookmarkEnd w:id="1039"/>
    </w:p>
    <w:p>
      <w:pPr>
        <w:spacing w:after="120" w:line="293" w:lineRule="auto"/>
      </w:pPr>
      <w:r>
        <w:rPr>
          <w:rFonts w:ascii="Montserrat" w:hAnsi="Montserrat"/>
          <w:b w:val="0"/>
          <w:i w:val="0"/>
          <w:color w:val="2D2D2D"/>
          <w:sz w:val="21"/>
        </w:rPr>
        <w:t>Request review → information readiness → quote/approval → prepaid payment → appointment → signer/document readiness → Proof preparation → review/activation → signer access → live session → provider completion → APS document review/release → closeout.</w:t>
      </w:r>
    </w:p>
    <w:p>
      <w:bookmarkStart w:id="1040" w:name="toc_41"/>
      <w:pPr>
        <w:pStyle w:val="Heading2"/>
      </w:pPr>
      <w:r>
        <w:t>18.7 Thirteen APS RON Stages</w:t>
      </w:r>
      <w:bookmarkEnd w:id="1040"/>
    </w:p>
    <w:p>
      <w:pPr>
        <w:spacing w:after="120" w:line="293" w:lineRule="auto"/>
      </w:pPr>
      <w:r>
        <w:rPr>
          <w:rFonts w:ascii="Montserrat" w:hAnsi="Montserrat"/>
          <w:b w:val="0"/>
          <w:i w:val="0"/>
          <w:color w:val="2D2D2D"/>
          <w:sz w:val="21"/>
        </w:rPr>
        <w:t>The maintained stages are operational checkpoints, not decorative labels. Advance only from evidence owned by the current stage; failed provider work, incomplete documents, unreleased output, or outstanding required balance remains a blocker.</w:t>
      </w:r>
    </w:p>
    <w:p>
      <w:bookmarkStart w:id="1041" w:name="toc_42"/>
      <w:pPr>
        <w:pStyle w:val="Heading1"/>
        <w:pageBreakBefore/>
      </w:pPr>
      <w:r>
        <w:t>Chapter 19 — Preparing the Remote Online Notary Quote</w:t>
      </w:r>
      <w:bookmarkEnd w:id="1041"/>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bookmarkStart w:id="1042" w:name="toc_43"/>
      <w:pPr>
        <w:pStyle w:val="Heading2"/>
      </w:pPr>
      <w:r>
        <w:t>19.1 When RON Is Ready to Quote</w:t>
      </w:r>
      <w:bookmarkEnd w:id="1042"/>
    </w:p>
    <w:p>
      <w:pPr>
        <w:spacing w:after="120" w:line="293" w:lineRule="auto"/>
      </w:pPr>
      <w:r>
        <w:rPr>
          <w:rFonts w:ascii="Montserrat" w:hAnsi="Montserrat"/>
          <w:b w:val="0"/>
          <w:i w:val="0"/>
          <w:color w:val="2D2D2D"/>
          <w:sz w:val="21"/>
        </w:rPr>
        <w:t>The request has identifiable participants, readable documents, supplied act/recipient instructions, proposed timing, eligibility facts, and a delivery expectation. Unknown legal/notarial choices remain with the signer or receiving party.</w:t>
      </w:r>
    </w:p>
    <w:p>
      <w:bookmarkStart w:id="1043" w:name="toc_44"/>
      <w:pPr>
        <w:pStyle w:val="Heading2"/>
      </w:pPr>
      <w:r>
        <w:t>19.2 Notarial Act Information</w:t>
      </w:r>
      <w:bookmarkEnd w:id="1043"/>
    </w:p>
    <w:p>
      <w:pPr>
        <w:spacing w:after="120" w:line="293" w:lineRule="auto"/>
      </w:pPr>
      <w:r>
        <w:rPr>
          <w:rFonts w:ascii="Montserrat" w:hAnsi="Montserrat"/>
          <w:b w:val="0"/>
          <w:i w:val="0"/>
          <w:color w:val="2D2D2D"/>
          <w:sz w:val="21"/>
        </w:rPr>
        <w:t>Record what the signer or authorized receiving party requests. If the certificate or instruction is absent or ambiguous, pause and refer; do not choose the act.</w:t>
      </w:r>
    </w:p>
    <w:p>
      <w:bookmarkStart w:id="1044" w:name="toc_45"/>
      <w:pPr>
        <w:pStyle w:val="Heading2"/>
      </w:pPr>
      <w:r>
        <w:t>19.3 Participants and Witnesses</w:t>
      </w:r>
      <w:bookmarkEnd w:id="1044"/>
    </w:p>
    <w:p>
      <w:pPr>
        <w:spacing w:after="120" w:line="293" w:lineRule="auto"/>
      </w:pPr>
      <w:r>
        <w:rPr>
          <w:rFonts w:ascii="Montserrat" w:hAnsi="Montserrat"/>
          <w:b w:val="0"/>
          <w:i w:val="0"/>
          <w:color w:val="2D2D2D"/>
          <w:sz w:val="21"/>
        </w:rPr>
        <w:t>Verify each signer’s full legal name and contact path. Distinguish document witnesses from credible witnesses and confirm who supplies them.</w:t>
      </w:r>
    </w:p>
    <w:p>
      <w:bookmarkStart w:id="1045" w:name="toc_46"/>
      <w:pPr>
        <w:pStyle w:val="Heading2"/>
      </w:pPr>
      <w:r>
        <w:t>19.4 Documents and Service Requirements</w:t>
      </w:r>
      <w:bookmarkEnd w:id="1045"/>
    </w:p>
    <w:p>
      <w:pPr>
        <w:spacing w:after="120" w:line="293" w:lineRule="auto"/>
      </w:pPr>
      <w:r>
        <w:rPr>
          <w:rFonts w:ascii="Montserrat" w:hAnsi="Montserrat"/>
          <w:b w:val="0"/>
          <w:i w:val="0"/>
          <w:color w:val="2D2D2D"/>
          <w:sz w:val="21"/>
        </w:rPr>
        <w:t>Confirm the active file opens, appears complete for operational processing, supports the intended electronic workflow, and is not superseded. APS does not decide legal sufficiency.</w:t>
      </w:r>
    </w:p>
    <w:p>
      <w:bookmarkStart w:id="1046" w:name="toc_47"/>
      <w:pPr>
        <w:pStyle w:val="Heading2"/>
      </w:pPr>
      <w:r>
        <w:t>19.5 Build, Review, and Send Quote</w:t>
      </w:r>
      <w:bookmarkEnd w:id="1046"/>
    </w:p>
    <w:p>
      <w:pPr>
        <w:spacing w:after="120" w:line="293" w:lineRule="auto"/>
      </w:pPr>
      <w:r>
        <w:rPr>
          <w:rFonts w:ascii="Montserrat" w:hAnsi="Montserrat"/>
          <w:b w:val="0"/>
          <w:i w:val="0"/>
          <w:color w:val="2D2D2D"/>
          <w:sz w:val="21"/>
        </w:rPr>
        <w:t>Use the verified service facts, current pricing authority, participant count, acts, timing, and approved additions. Review the customer-safe scope before sending.</w:t>
      </w:r>
    </w:p>
    <w:p>
      <w:bookmarkStart w:id="1047" w:name="toc_48"/>
      <w:pPr>
        <w:pStyle w:val="Heading2"/>
      </w:pPr>
      <w:r>
        <w:t>19.6 Customer Approval</w:t>
      </w:r>
      <w:bookmarkEnd w:id="1047"/>
    </w:p>
    <w:p>
      <w:pPr>
        <w:spacing w:after="120" w:line="293" w:lineRule="auto"/>
      </w:pPr>
      <w:r>
        <w:rPr>
          <w:rFonts w:ascii="Montserrat" w:hAnsi="Montserrat"/>
          <w:b w:val="0"/>
          <w:i w:val="0"/>
          <w:color w:val="2D2D2D"/>
          <w:sz w:val="21"/>
        </w:rPr>
        <w:t>Approval must identify the current quote version. A verbal expectation or appointment request is not approval of an unseen revision.</w:t>
      </w:r>
    </w:p>
    <w:p>
      <w:bookmarkStart w:id="1048" w:name="toc_49"/>
      <w:pPr>
        <w:pStyle w:val="Heading2"/>
      </w:pPr>
      <w:r>
        <w:t>19.7 Prepaid Payment Gate</w:t>
      </w:r>
      <w:bookmarkEnd w:id="1048"/>
    </w:p>
    <w:p>
      <w:pPr>
        <w:spacing w:after="120" w:line="293" w:lineRule="auto"/>
      </w:pPr>
      <w:r>
        <w:rPr>
          <w:rFonts w:ascii="Montserrat" w:hAnsi="Montserrat"/>
          <w:b w:val="0"/>
          <w:i w:val="0"/>
          <w:color w:val="2D2D2D"/>
          <w:sz w:val="21"/>
        </w:rPr>
        <w:t>RON is prepaid unless an authorized Business term applies. Do not activate or conduct the session while the applicable payment gate remains unresolved.</w:t>
      </w:r>
    </w:p>
    <w:p>
      <w:bookmarkStart w:id="1049" w:name="toc_50"/>
      <w:pPr>
        <w:pStyle w:val="Heading2"/>
      </w:pPr>
      <w:r>
        <w:t>19.8 When to Revise</w:t>
      </w:r>
      <w:bookmarkEnd w:id="1049"/>
    </w:p>
    <w:p>
      <w:pPr>
        <w:spacing w:after="120" w:line="293" w:lineRule="auto"/>
      </w:pPr>
      <w:r>
        <w:rPr>
          <w:rFonts w:ascii="Montserrat" w:hAnsi="Montserrat"/>
          <w:b w:val="0"/>
          <w:i w:val="0"/>
          <w:color w:val="2D2D2D"/>
          <w:sz w:val="21"/>
        </w:rPr>
        <w:t>Revise for changed participants, acts, documents, timing, service method, or approved additions. Preserve the superseded quote.</w:t>
      </w:r>
    </w:p>
    <w:p>
      <w:bookmarkStart w:id="1050" w:name="toc_51"/>
      <w:pPr>
        <w:pStyle w:val="Heading2"/>
      </w:pPr>
      <w:r>
        <w:t>19.9 RON Quote Readiness Checklist</w:t>
      </w:r>
      <w:bookmarkEnd w:id="1050"/>
    </w:p>
    <w:p>
      <w:pPr>
        <w:pStyle w:val="ListBullet"/>
        <w:spacing w:after="120" w:line="293" w:lineRule="auto"/>
      </w:pPr>
      <w:r>
        <w:rPr>
          <w:rFonts w:ascii="Montserrat" w:hAnsi="Montserrat"/>
          <w:b w:val="0"/>
          <w:i w:val="0"/>
          <w:color w:val="2D2D2D"/>
          <w:sz w:val="21"/>
        </w:rPr>
        <w:t>Current request and participant records verified.</w:t>
      </w:r>
    </w:p>
    <w:p>
      <w:pPr>
        <w:pStyle w:val="ListBullet"/>
        <w:spacing w:after="120" w:line="293" w:lineRule="auto"/>
      </w:pPr>
      <w:r>
        <w:rPr>
          <w:rFonts w:ascii="Montserrat" w:hAnsi="Montserrat"/>
          <w:b w:val="0"/>
          <w:i w:val="0"/>
          <w:color w:val="2D2D2D"/>
          <w:sz w:val="21"/>
        </w:rPr>
        <w:t>Act/instructions supplied by an authorized source.</w:t>
      </w:r>
    </w:p>
    <w:p>
      <w:pPr>
        <w:pStyle w:val="ListBullet"/>
        <w:spacing w:after="120" w:line="293" w:lineRule="auto"/>
      </w:pPr>
      <w:r>
        <w:rPr>
          <w:rFonts w:ascii="Montserrat" w:hAnsi="Montserrat"/>
          <w:b w:val="0"/>
          <w:i w:val="0"/>
          <w:color w:val="2D2D2D"/>
          <w:sz w:val="21"/>
        </w:rPr>
        <w:t>Active document opens and is mapped to the request.</w:t>
      </w:r>
    </w:p>
    <w:p>
      <w:pPr>
        <w:pStyle w:val="ListBullet"/>
        <w:spacing w:after="120" w:line="293" w:lineRule="auto"/>
      </w:pPr>
      <w:r>
        <w:rPr>
          <w:rFonts w:ascii="Montserrat" w:hAnsi="Montserrat"/>
          <w:b w:val="0"/>
          <w:i w:val="0"/>
          <w:color w:val="2D2D2D"/>
          <w:sz w:val="21"/>
        </w:rPr>
        <w:t>Eligibility, appointment, and provider readiness risks identified.</w:t>
      </w:r>
    </w:p>
    <w:p>
      <w:pPr>
        <w:pStyle w:val="ListBullet"/>
        <w:spacing w:after="120" w:line="293" w:lineRule="auto"/>
      </w:pPr>
      <w:r>
        <w:rPr>
          <w:rFonts w:ascii="Montserrat" w:hAnsi="Montserrat"/>
          <w:b w:val="0"/>
          <w:i w:val="0"/>
          <w:color w:val="2D2D2D"/>
          <w:sz w:val="21"/>
        </w:rPr>
        <w:t>Current quote reviewed, delivered, and approved before invoicing.</w:t>
      </w:r>
    </w:p>
    <w:p>
      <w:bookmarkStart w:id="1051" w:name="toc_52"/>
      <w:pPr>
        <w:pStyle w:val="Heading1"/>
        <w:pageBreakBefore/>
      </w:pPr>
      <w:r>
        <w:t>Chapter 20 — RON Status, Operator Action &amp; Customer Communication Sequence</w:t>
      </w:r>
      <w:bookmarkEnd w:id="1051"/>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tbl>
      <w:tblPr>
        <w:tblW w:type="auto" w:w="0"/>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tcMar>
              <w:top w:w="100" w:type="dxa"/>
              <w:start w:w="120" w:type="dxa"/>
              <w:bottom w:w="100" w:type="dxa"/>
              <w:end w:w="120" w:type="dxa"/>
            </w:tcMar>
            <w:shd w:fill="161C4D"/>
          </w:tcPr>
          <w:p>
            <w:pPr>
              <w:spacing w:after="0"/>
            </w:pPr>
            <w:r>
              <w:rPr>
                <w:rFonts w:ascii="Montserrat" w:hAnsi="Montserrat"/>
                <w:b/>
                <w:i w:val="0"/>
                <w:color w:val="FFFFFF"/>
                <w:sz w:val="16"/>
              </w:rPr>
              <w:t>Stage</w:t>
            </w:r>
          </w:p>
        </w:tc>
        <w:tc>
          <w:tcPr>
            <w:tcW w:type="dxa" w:w="1958"/>
            <w:vAlign w:val="center"/>
            <w:tcMar>
              <w:top w:w="100" w:type="dxa"/>
              <w:start w:w="120" w:type="dxa"/>
              <w:bottom w:w="100" w:type="dxa"/>
              <w:end w:w="120" w:type="dxa"/>
            </w:tcMar>
            <w:shd w:fill="161C4D"/>
          </w:tcPr>
          <w:p>
            <w:pPr>
              <w:spacing w:after="0"/>
            </w:pPr>
            <w:r>
              <w:rPr>
                <w:rFonts w:ascii="Montserrat" w:hAnsi="Montserrat"/>
                <w:b/>
                <w:i w:val="0"/>
                <w:color w:val="FFFFFF"/>
                <w:sz w:val="16"/>
              </w:rPr>
              <w:t>APS condition</w:t>
            </w:r>
          </w:p>
        </w:tc>
        <w:tc>
          <w:tcPr>
            <w:tcW w:type="dxa" w:w="1958"/>
            <w:vAlign w:val="center"/>
            <w:tcMar>
              <w:top w:w="100" w:type="dxa"/>
              <w:start w:w="120" w:type="dxa"/>
              <w:bottom w:w="100" w:type="dxa"/>
              <w:end w:w="120" w:type="dxa"/>
            </w:tcMar>
            <w:shd w:fill="161C4D"/>
          </w:tcPr>
          <w:p>
            <w:pPr>
              <w:spacing w:after="0"/>
            </w:pPr>
            <w:r>
              <w:rPr>
                <w:rFonts w:ascii="Montserrat" w:hAnsi="Montserrat"/>
                <w:b/>
                <w:i w:val="0"/>
                <w:color w:val="FFFFFF"/>
                <w:sz w:val="16"/>
              </w:rPr>
              <w:t>Operator action</w:t>
            </w:r>
          </w:p>
        </w:tc>
        <w:tc>
          <w:tcPr>
            <w:tcW w:type="dxa" w:w="1958"/>
            <w:vAlign w:val="center"/>
            <w:tcMar>
              <w:top w:w="100" w:type="dxa"/>
              <w:start w:w="120" w:type="dxa"/>
              <w:bottom w:w="100" w:type="dxa"/>
              <w:end w:w="120" w:type="dxa"/>
            </w:tcMar>
            <w:shd w:fill="161C4D"/>
          </w:tcPr>
          <w:p>
            <w:pPr>
              <w:spacing w:after="0"/>
            </w:pPr>
            <w:r>
              <w:rPr>
                <w:rFonts w:ascii="Montserrat" w:hAnsi="Montserrat"/>
                <w:b/>
                <w:i w:val="0"/>
                <w:color w:val="FFFFFF"/>
                <w:sz w:val="16"/>
              </w:rPr>
              <w:t>Customer communication</w:t>
            </w:r>
          </w:p>
        </w:tc>
        <w:tc>
          <w:tcPr>
            <w:tcW w:type="dxa" w:w="1958"/>
            <w:vAlign w:val="center"/>
            <w:tcMar>
              <w:top w:w="100" w:type="dxa"/>
              <w:start w:w="120" w:type="dxa"/>
              <w:bottom w:w="100" w:type="dxa"/>
              <w:end w:w="120" w:type="dxa"/>
            </w:tcMar>
            <w:shd w:fill="161C4D"/>
          </w:tcPr>
          <w:p>
            <w:pPr>
              <w:spacing w:after="0"/>
            </w:pPr>
            <w:r>
              <w:rPr>
                <w:rFonts w:ascii="Montserrat" w:hAnsi="Montserrat"/>
                <w:b/>
                <w:i w:val="0"/>
                <w:color w:val="FFFFFF"/>
                <w:sz w:val="16"/>
              </w:rPr>
              <w:t>Gate / record</w:t>
            </w:r>
          </w:p>
        </w:tc>
      </w:tr>
      <w:tr>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Request Received</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scoped request exists</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review participants/documents</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acknowledgment is automatic where maintained</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Timeline intake</w:t>
            </w:r>
          </w:p>
        </w:tc>
      </w:tr>
      <w:tr>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Information Needed</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required fact missing</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request the exact missing item</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approved information-needed template</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remain Under Review</w:t>
            </w:r>
          </w:p>
        </w:tc>
      </w:tr>
      <w:tr>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Quote Ready/Approved</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reviewed version exists</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send, then record approval</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quote-ready communication</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approved version</w:t>
            </w:r>
          </w:p>
        </w:tc>
      </w:tr>
      <w:tr>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Payment Required/Received</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invoice open/paid</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reconcile provider and ledger</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invoice/payment confirmation</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applicable prepaid balance</w:t>
            </w:r>
          </w:p>
        </w:tc>
      </w:tr>
      <w:tr>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Appointment</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confirmed facts saved</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send confirmation/reminder</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appointment template/channel</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date/time/platform ready</w:t>
            </w:r>
          </w:p>
        </w:tc>
      </w:tr>
      <w:tr>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Preparation</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Proof draft/readiness reviewed</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prepare once, verify mapping</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only approved preparation instructions</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no duplicate transaction</w:t>
            </w:r>
          </w:p>
        </w:tc>
      </w:tr>
      <w:tr>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Identity issue</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provider check unsuccessful</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follow neutral retry/alternative path</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do not expose or coach answers</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provider result recorded</w:t>
            </w:r>
          </w:p>
        </w:tc>
      </w:tr>
      <w:tr>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Session</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activated and ready</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conduct authorized act</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controlled session language</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continuous compliant session</w:t>
            </w:r>
          </w:p>
        </w:tc>
      </w:tr>
      <w:tr>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Completed document</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provider asset exists</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return to APS, review/QC</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no release promise yet</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APS review pending</w:t>
            </w:r>
          </w:p>
        </w:tc>
      </w:tr>
      <w:tr>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Release/completion</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approved customer deliverable released</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send customer-safe completion</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document/completion template</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release + final gates</w:t>
            </w:r>
          </w:p>
        </w:tc>
      </w:tr>
      <w:tr>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Cancellation/reschedule</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authorized change requested</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use maintained decision workflow</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approved change message</w:t>
            </w:r>
          </w:p>
        </w:tc>
        <w:tc>
          <w:tcPr>
            <w:tcW w:type="dxa" w:w="1958"/>
            <w:vAlign w:val="center"/>
            <w:tcMar>
              <w:top w:w="100" w:type="dxa"/>
              <w:start w:w="120" w:type="dxa"/>
              <w:bottom w:w="100" w:type="dxa"/>
              <w:end w:w="120" w:type="dxa"/>
            </w:tcMar>
            <w:shd w:fill="FFFFFF"/>
          </w:tcPr>
          <w:p>
            <w:pPr>
              <w:spacing w:after="0"/>
            </w:pPr>
            <w:r>
              <w:rPr>
                <w:rFonts w:ascii="Montserrat" w:hAnsi="Montserrat"/>
                <w:b w:val="0"/>
                <w:i w:val="0"/>
                <w:color w:val="2D2D2D"/>
                <w:sz w:val="16"/>
              </w:rPr>
              <w:t>history preserved</w:t>
            </w:r>
          </w:p>
        </w:tc>
      </w:tr>
      <w:tr>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Failure/alternative</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retry not safe/eligible</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pause, escalate, offer eligible alternative</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neutral next step</w:t>
            </w:r>
          </w:p>
        </w:tc>
        <w:tc>
          <w:tcPr>
            <w:tcW w:type="dxa" w:w="1958"/>
            <w:vAlign w:val="center"/>
            <w:tcMar>
              <w:top w:w="100" w:type="dxa"/>
              <w:start w:w="120" w:type="dxa"/>
              <w:bottom w:w="100" w:type="dxa"/>
              <w:end w:w="120" w:type="dxa"/>
            </w:tcMar>
            <w:shd w:fill="F6F3EE"/>
          </w:tcPr>
          <w:p>
            <w:pPr>
              <w:spacing w:after="0"/>
            </w:pPr>
            <w:r>
              <w:rPr>
                <w:rFonts w:ascii="Montserrat" w:hAnsi="Montserrat"/>
                <w:b w:val="0"/>
                <w:i w:val="0"/>
                <w:color w:val="2D2D2D"/>
                <w:sz w:val="16"/>
              </w:rPr>
              <w:t>no false completion</w:t>
            </w:r>
          </w:p>
        </w:tc>
      </w:tr>
    </w:tbl>
    <w:p>
      <w:pPr>
        <w:spacing w:after="40"/>
      </w:pPr>
    </w:p>
    <w:p>
      <w:bookmarkStart w:id="1052" w:name="toc_53"/>
      <w:pPr>
        <w:pStyle w:val="Heading2"/>
      </w:pPr>
      <w:r>
        <w:t>20.1–20.13 Operating Rule</w:t>
      </w:r>
      <w:bookmarkEnd w:id="1052"/>
    </w:p>
    <w:p>
      <w:pPr>
        <w:spacing w:after="120" w:line="293" w:lineRule="auto"/>
      </w:pPr>
      <w:r>
        <w:rPr>
          <w:rFonts w:ascii="Montserrat" w:hAnsi="Montserrat"/>
          <w:b w:val="0"/>
          <w:i w:val="0"/>
          <w:color w:val="2D2D2D"/>
          <w:sz w:val="21"/>
        </w:rPr>
        <w:t>For every row, verify the stage, condition, template/channel, successful delivery evidence, and Timeline entry. “Send Message” communicates without inventing status. “Send &amp; Update Status” changes status only after successful delivery through its maintained workflow.</w:t>
      </w:r>
    </w:p>
    <w:p>
      <w:bookmarkStart w:id="1053" w:name="toc_54"/>
      <w:pPr>
        <w:pStyle w:val="Heading1"/>
        <w:pageBreakBefore/>
      </w:pPr>
      <w:r>
        <w:t>Chapter 21 — RON Fulfillment Gates &amp; Closeout</w:t>
      </w:r>
      <w:bookmarkEnd w:id="1053"/>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pPr>
        <w:jc w:val="center"/>
      </w:pPr>
      <w:r>
        <w:drawing>
          <wp:inline xmlns:a="http://schemas.openxmlformats.org/drawingml/2006/main" xmlns:pic="http://schemas.openxmlformats.org/drawingml/2006/picture">
            <wp:extent cx="5760720" cy="1613002"/>
            <wp:docPr id="2" name="Picture 2" descr="RON Failure / Alternative Path with connected workflow steps and decision gates"/>
            <wp:cNvGraphicFramePr>
              <a:graphicFrameLocks noChangeAspect="1"/>
            </wp:cNvGraphicFramePr>
            <a:graphic>
              <a:graphicData uri="http://schemas.openxmlformats.org/drawingml/2006/picture">
                <pic:pic>
                  <pic:nvPicPr>
                    <pic:cNvPr id="0" name="fig-16-ron-failure-decision.png"/>
                    <pic:cNvPicPr/>
                  </pic:nvPicPr>
                  <pic:blipFill>
                    <a:blip r:embed="rId12"/>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RON Failure / Alternative Path</w:t>
      </w:r>
    </w:p>
    <w:p>
      <w:bookmarkStart w:id="1054" w:name="toc_55"/>
      <w:pPr>
        <w:pStyle w:val="Heading2"/>
      </w:pPr>
      <w:r>
        <w:t>21.1–21.8 Readiness Gates</w:t>
      </w:r>
      <w:bookmarkEnd w:id="1054"/>
    </w:p>
    <w:p>
      <w:pPr>
        <w:spacing w:after="120" w:line="293" w:lineRule="auto"/>
      </w:pPr>
      <w:r>
        <w:rPr>
          <w:rFonts w:ascii="Montserrat" w:hAnsi="Montserrat"/>
          <w:b w:val="0"/>
          <w:i w:val="0"/>
          <w:color w:val="2D2D2D"/>
          <w:sz w:val="21"/>
        </w:rPr>
        <w:t>Request review, participants, documents, quote, approval, payment, appointment, and identity/platform readiness are independent. Each requires its own evidence. The operator checks the request workspace, document classification, current quote/invoice, appointment facts, and Proof readiness panel.</w:t>
      </w:r>
    </w:p>
    <w:p>
      <w:bookmarkStart w:id="1055" w:name="toc_56"/>
      <w:pPr>
        <w:pStyle w:val="Heading2"/>
      </w:pPr>
      <w:r>
        <w:t>21.9 Session Completion</w:t>
      </w:r>
      <w:bookmarkEnd w:id="1055"/>
    </w:p>
    <w:p>
      <w:pPr>
        <w:spacing w:after="120" w:line="293" w:lineRule="auto"/>
      </w:pPr>
      <w:r>
        <w:rPr>
          <w:rFonts w:ascii="Montserrat" w:hAnsi="Montserrat"/>
          <w:b w:val="0"/>
          <w:i w:val="0"/>
          <w:color w:val="2D2D2D"/>
          <w:sz w:val="21"/>
        </w:rPr>
        <w:t>Confirm the authorized live session ended with the intended act completed or a clearly recorded stop. Provider “session ended” alone does not prove a valid completed document.</w:t>
      </w:r>
    </w:p>
    <w:p>
      <w:bookmarkStart w:id="1056" w:name="toc_57"/>
      <w:pPr>
        <w:pStyle w:val="Heading2"/>
      </w:pPr>
      <w:r>
        <w:t>21.10 Completed Proof Document</w:t>
      </w:r>
      <w:bookmarkEnd w:id="1056"/>
    </w:p>
    <w:p>
      <w:pPr>
        <w:spacing w:after="120" w:line="293" w:lineRule="auto"/>
      </w:pPr>
      <w:r>
        <w:rPr>
          <w:rFonts w:ascii="Montserrat" w:hAnsi="Montserrat"/>
          <w:b w:val="0"/>
          <w:i w:val="0"/>
          <w:color w:val="2D2D2D"/>
          <w:sz w:val="21"/>
        </w:rPr>
        <w:t>Return to APS through the maintained provider synchronization. Confirm the provider asset belongs to the correct transaction, signer, document, and version; then conduct completed-document review.</w:t>
      </w:r>
    </w:p>
    <w:p>
      <w:bookmarkStart w:id="1057" w:name="toc_58"/>
      <w:pPr>
        <w:pStyle w:val="Heading2"/>
      </w:pPr>
      <w:r>
        <w:t>21.11 Document Release</w:t>
      </w:r>
      <w:bookmarkEnd w:id="1057"/>
    </w:p>
    <w:p>
      <w:pPr>
        <w:spacing w:after="120" w:line="293" w:lineRule="auto"/>
      </w:pPr>
      <w:r>
        <w:rPr>
          <w:rFonts w:ascii="Montserrat" w:hAnsi="Montserrat"/>
          <w:b w:val="0"/>
          <w:i w:val="0"/>
          <w:color w:val="2D2D2D"/>
          <w:sz w:val="21"/>
        </w:rPr>
        <w:t>Release is an explicit APS action after classification and review. A provider-completed document is not automatically customer-visible.</w:t>
      </w:r>
    </w:p>
    <w:p>
      <w:bookmarkStart w:id="1058" w:name="toc_59"/>
      <w:pPr>
        <w:pStyle w:val="Heading2"/>
      </w:pPr>
      <w:r>
        <w:t>21.12 Final Completion</w:t>
      </w:r>
      <w:bookmarkEnd w:id="1058"/>
    </w:p>
    <w:p>
      <w:pPr>
        <w:spacing w:after="120" w:line="293" w:lineRule="auto"/>
      </w:pPr>
      <w:r>
        <w:rPr>
          <w:rFonts w:ascii="Montserrat" w:hAnsi="Montserrat"/>
          <w:b w:val="0"/>
          <w:i w:val="0"/>
          <w:color w:val="2D2D2D"/>
          <w:sz w:val="21"/>
        </w:rPr>
        <w:t>Verify service components, applicable balance, appointment/session evidence, completed asset, release/delivery, and unresolved exceptions. Only then mark complete through the maintained path.</w:t>
      </w:r>
    </w:p>
    <w:p>
      <w:bookmarkStart w:id="1059" w:name="toc_60"/>
      <w:pPr>
        <w:pStyle w:val="Heading2"/>
      </w:pPr>
      <w:r>
        <w:t>21.13 Post-Session Review and Release Procedure</w:t>
      </w:r>
      <w:bookmarkEnd w:id="1059"/>
    </w:p>
    <w:p>
      <w:pPr>
        <w:pStyle w:val="ListNumber"/>
        <w:spacing w:after="120" w:line="293" w:lineRule="auto"/>
      </w:pPr>
      <w:r>
        <w:rPr>
          <w:rFonts w:ascii="Montserrat" w:hAnsi="Montserrat"/>
          <w:b w:val="0"/>
          <w:i w:val="0"/>
          <w:color w:val="2D2D2D"/>
          <w:sz w:val="21"/>
        </w:rPr>
        <w:t>Open the exact request and Proof transaction.</w:t>
      </w:r>
    </w:p>
    <w:p>
      <w:pPr>
        <w:pStyle w:val="ListNumber"/>
        <w:spacing w:after="120" w:line="293" w:lineRule="auto"/>
      </w:pPr>
      <w:r>
        <w:rPr>
          <w:rFonts w:ascii="Montserrat" w:hAnsi="Montserrat"/>
          <w:b w:val="0"/>
          <w:i w:val="0"/>
          <w:color w:val="2D2D2D"/>
          <w:sz w:val="21"/>
        </w:rPr>
        <w:t>Confirm provider completion and download/synchronize through the maintained action.</w:t>
      </w:r>
    </w:p>
    <w:p>
      <w:pPr>
        <w:pStyle w:val="ListNumber"/>
        <w:spacing w:after="120" w:line="293" w:lineRule="auto"/>
      </w:pPr>
      <w:r>
        <w:rPr>
          <w:rFonts w:ascii="Montserrat" w:hAnsi="Montserrat"/>
          <w:b w:val="0"/>
          <w:i w:val="0"/>
          <w:color w:val="2D2D2D"/>
          <w:sz w:val="21"/>
        </w:rPr>
        <w:t>Compare signer, file, act/certificate, page integrity, and transaction relationship.</w:t>
      </w:r>
    </w:p>
    <w:p>
      <w:pPr>
        <w:pStyle w:val="ListNumber"/>
        <w:spacing w:after="120" w:line="293" w:lineRule="auto"/>
      </w:pPr>
      <w:r>
        <w:rPr>
          <w:rFonts w:ascii="Montserrat" w:hAnsi="Montserrat"/>
          <w:b w:val="0"/>
          <w:i w:val="0"/>
          <w:color w:val="2D2D2D"/>
          <w:sz w:val="21"/>
        </w:rPr>
        <w:t>Classify the output as an internal completed document until approved.</w:t>
      </w:r>
    </w:p>
    <w:p>
      <w:pPr>
        <w:pStyle w:val="ListNumber"/>
        <w:spacing w:after="120" w:line="293" w:lineRule="auto"/>
      </w:pPr>
      <w:r>
        <w:rPr>
          <w:rFonts w:ascii="Montserrat" w:hAnsi="Montserrat"/>
          <w:b w:val="0"/>
          <w:i w:val="0"/>
          <w:color w:val="2D2D2D"/>
          <w:sz w:val="21"/>
        </w:rPr>
        <w:t>Resolve defects or record the permitted exception.</w:t>
      </w:r>
    </w:p>
    <w:p>
      <w:pPr>
        <w:pStyle w:val="ListNumber"/>
        <w:spacing w:after="120" w:line="293" w:lineRule="auto"/>
      </w:pPr>
      <w:r>
        <w:rPr>
          <w:rFonts w:ascii="Montserrat" w:hAnsi="Montserrat"/>
          <w:b w:val="0"/>
          <w:i w:val="0"/>
          <w:color w:val="2D2D2D"/>
          <w:sz w:val="21"/>
        </w:rPr>
        <w:t>Release only the intended customer deliverable.</w:t>
      </w:r>
    </w:p>
    <w:p>
      <w:pPr>
        <w:pStyle w:val="ListNumber"/>
        <w:spacing w:after="120" w:line="293" w:lineRule="auto"/>
      </w:pPr>
      <w:r>
        <w:rPr>
          <w:rFonts w:ascii="Montserrat" w:hAnsi="Montserrat"/>
          <w:b w:val="0"/>
          <w:i w:val="0"/>
          <w:color w:val="2D2D2D"/>
          <w:sz w:val="21"/>
        </w:rPr>
        <w:t>Verify portal visibility, communication evidence, and Timeline.</w:t>
      </w:r>
    </w:p>
    <w:p>
      <w:bookmarkStart w:id="1060" w:name="toc_61"/>
      <w:pPr>
        <w:pStyle w:val="Heading2"/>
      </w:pPr>
      <w:r>
        <w:t>21.14 Failed or Incomplete Processing</w:t>
      </w:r>
      <w:bookmarkEnd w:id="1060"/>
    </w:p>
    <w:p>
      <w:pPr>
        <w:spacing w:after="120" w:line="293" w:lineRule="auto"/>
      </w:pPr>
      <w:r>
        <w:rPr>
          <w:rFonts w:ascii="Montserrat" w:hAnsi="Montserrat"/>
          <w:b w:val="0"/>
          <w:i w:val="0"/>
          <w:color w:val="2D2D2D"/>
          <w:sz w:val="21"/>
        </w:rPr>
        <w:t>Do not create a replacement transaction reflexively. Determine whether the existing transaction supports a safe retry, whether a new appointment or service method is required, and whether financial review applies.</w:t>
      </w:r>
    </w:p>
    <w:p>
      <w:bookmarkStart w:id="1061" w:name="toc_62"/>
      <w:pPr>
        <w:pStyle w:val="Heading2"/>
      </w:pPr>
      <w:r>
        <w:t>21.15 RON Failure / Alternative Path Decision Tree</w:t>
      </w:r>
      <w:bookmarkEnd w:id="1061"/>
    </w:p>
    <w:p>
      <w:pPr>
        <w:spacing w:after="120" w:line="293" w:lineRule="auto"/>
      </w:pPr>
      <w:r>
        <w:rPr>
          <w:rFonts w:ascii="Montserrat" w:hAnsi="Montserrat"/>
          <w:b w:val="0"/>
          <w:i w:val="0"/>
          <w:color w:val="2D2D2D"/>
          <w:sz w:val="21"/>
        </w:rPr>
        <w:t>Identity/platform/session passes? If YES, continue to completed-asset review. If NO, is a provider-supported retry authorized and safe? If YES, reuse the maintained transaction. If NO, hold the request, communicate neutrally, and evaluate reschedule or Mobile conversion. Never bypass identity or represent incomplete work as complete.</w:t>
      </w:r>
    </w:p>
    <w:p>
      <w:bookmarkStart w:id="1062" w:name="toc_63"/>
      <w:pPr>
        <w:pStyle w:val="Heading2"/>
      </w:pPr>
      <w:r>
        <w:t>21.16 RON Quick References</w:t>
      </w:r>
      <w:bookmarkEnd w:id="1062"/>
    </w:p>
    <w:p>
      <w:pPr>
        <w:spacing w:after="120" w:line="293" w:lineRule="auto"/>
      </w:pPr>
      <w:r>
        <w:rPr>
          <w:rFonts w:ascii="Montserrat" w:hAnsi="Montserrat"/>
          <w:b w:val="0"/>
          <w:i w:val="0"/>
          <w:color w:val="2D2D2D"/>
          <w:sz w:val="21"/>
        </w:rPr>
        <w:t>Use RON Quote Readiness, Appointment Readiness, Identity/KBA Boundaries, Session Checklist, Proof Completed Document Check, Document Release, Closeout, and Failure/Alternative Path cards.</w:t>
      </w:r>
    </w:p>
    <w:p>
      <w:r>
        <w:br w:type="page"/>
      </w:r>
    </w:p>
    <w:p>
      <w:bookmarkStart w:id="1063" w:name="toc_64"/>
      <w:pPr>
        <w:pStyle w:val="Title"/>
      </w:pPr>
      <w:r>
        <w:t>PART VII — MOBILE NOTARY</w:t>
      </w:r>
      <w:bookmarkEnd w:id="1063"/>
    </w:p>
    <w:p>
      <w:bookmarkStart w:id="1064" w:name="toc_65"/>
      <w:pPr>
        <w:pStyle w:val="Heading1"/>
        <w:pageBreakBefore/>
      </w:pPr>
      <w:r>
        <w:t>Chapter 22 — Mobile Notary Workflow, Travel &amp; Readiness</w:t>
      </w:r>
      <w:bookmarkEnd w:id="1064"/>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pPr>
        <w:jc w:val="center"/>
      </w:pPr>
      <w:r>
        <w:drawing>
          <wp:inline xmlns:a="http://schemas.openxmlformats.org/drawingml/2006/main" xmlns:pic="http://schemas.openxmlformats.org/drawingml/2006/picture">
            <wp:extent cx="5760720" cy="1613002"/>
            <wp:docPr id="3" name="Picture 3" descr="Mobile Notary Workflow Map with connected workflow steps and decision gates"/>
            <wp:cNvGraphicFramePr>
              <a:graphicFrameLocks noChangeAspect="1"/>
            </wp:cNvGraphicFramePr>
            <a:graphic>
              <a:graphicData uri="http://schemas.openxmlformats.org/drawingml/2006/picture">
                <pic:pic>
                  <pic:nvPicPr>
                    <pic:cNvPr id="0" name="fig-17-mobile-workflow.png"/>
                    <pic:cNvPicPr/>
                  </pic:nvPicPr>
                  <pic:blipFill>
                    <a:blip r:embed="rId13"/>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Mobile Notary Workflow Map</w:t>
      </w:r>
    </w:p>
    <w:p>
      <w:bookmarkStart w:id="1065" w:name="toc_66"/>
      <w:pPr>
        <w:pStyle w:val="Heading2"/>
      </w:pPr>
      <w:r>
        <w:t>22.1 Mobile Notary Workflow Map</w:t>
      </w:r>
      <w:bookmarkEnd w:id="1065"/>
    </w:p>
    <w:p>
      <w:pPr>
        <w:spacing w:after="120" w:line="293" w:lineRule="auto"/>
      </w:pPr>
      <w:r>
        <w:rPr>
          <w:rFonts w:ascii="Montserrat" w:hAnsi="Montserrat"/>
          <w:b w:val="0"/>
          <w:i w:val="0"/>
          <w:color w:val="2D2D2D"/>
          <w:sz w:val="21"/>
        </w:rPr>
        <w:t>Request → service/location review → route/travel facts → quote/approval → payment → appointment → before-leaving checks → travel/arrival → table work/journal → optional scan/final charges → delivery → closeout.</w:t>
      </w:r>
    </w:p>
    <w:p>
      <w:bookmarkStart w:id="1066" w:name="toc_67"/>
      <w:pPr>
        <w:pStyle w:val="Heading2"/>
      </w:pPr>
      <w:r>
        <w:t>22.2 Intake and Service Address</w:t>
      </w:r>
      <w:bookmarkEnd w:id="1066"/>
    </w:p>
    <w:p>
      <w:pPr>
        <w:spacing w:after="120" w:line="293" w:lineRule="auto"/>
      </w:pPr>
      <w:r>
        <w:rPr>
          <w:rFonts w:ascii="Montserrat" w:hAnsi="Montserrat"/>
          <w:b w:val="0"/>
          <w:i w:val="0"/>
          <w:color w:val="2D2D2D"/>
          <w:sz w:val="21"/>
        </w:rPr>
        <w:t>Confirm a structured street, city, state, ZIP, unit/access instruction, safe meeting context, and who will be present. Never calculate travel from an informal description when the maintained address is incomplete.</w:t>
      </w:r>
    </w:p>
    <w:p>
      <w:bookmarkStart w:id="1067" w:name="toc_68"/>
      <w:pPr>
        <w:pStyle w:val="Heading2"/>
      </w:pPr>
      <w:r>
        <w:t>22.3 Travel Origin</w:t>
      </w:r>
      <w:bookmarkEnd w:id="1067"/>
    </w:p>
    <w:p>
      <w:pPr>
        <w:spacing w:after="120" w:line="293" w:lineRule="auto"/>
      </w:pPr>
      <w:r>
        <w:rPr>
          <w:rFonts w:ascii="Montserrat" w:hAnsi="Montserrat"/>
          <w:b w:val="0"/>
          <w:i w:val="0"/>
          <w:color w:val="2D2D2D"/>
          <w:sz w:val="21"/>
        </w:rPr>
        <w:t>Use the saved authorized APS origin or approved one-time origin. The origin must represent the actual dispatch basis; do not choose a location merely to manipulate price.</w:t>
      </w:r>
    </w:p>
    <w:p>
      <w:bookmarkStart w:id="1068" w:name="toc_69"/>
      <w:pPr>
        <w:pStyle w:val="Heading2"/>
      </w:pPr>
      <w:r>
        <w:t>22.4 ORS and Manual Distance Fallback</w:t>
      </w:r>
      <w:bookmarkEnd w:id="1068"/>
    </w:p>
    <w:p>
      <w:pPr>
        <w:spacing w:after="120" w:line="293" w:lineRule="auto"/>
      </w:pPr>
      <w:r>
        <w:rPr>
          <w:rFonts w:ascii="Montserrat" w:hAnsi="Montserrat"/>
          <w:b w:val="0"/>
          <w:i w:val="0"/>
          <w:color w:val="2D2D2D"/>
          <w:sz w:val="21"/>
        </w:rPr>
        <w:t>Use OpenRouteService when available. When routing is unavailable, enter verified round-trip miles and the authorized fee with the required reason. Manual fallback records an honest limitation; it does not fabricate a route.</w:t>
      </w:r>
    </w:p>
    <w:p>
      <w:bookmarkStart w:id="1069" w:name="toc_70"/>
      <w:pPr>
        <w:pStyle w:val="Heading2"/>
      </w:pPr>
      <w:r>
        <w:t>22.5 Fee Inputs</w:t>
      </w:r>
      <w:bookmarkEnd w:id="1069"/>
    </w:p>
    <w:p>
      <w:pPr>
        <w:spacing w:after="120" w:line="293" w:lineRule="auto"/>
      </w:pPr>
      <w:r>
        <w:rPr>
          <w:rFonts w:ascii="Montserrat" w:hAnsi="Montserrat"/>
          <w:b w:val="0"/>
          <w:i w:val="0"/>
          <w:color w:val="2D2D2D"/>
          <w:sz w:val="21"/>
        </w:rPr>
        <w:t>Review round-trip mileage, maintained travel tier, after-hours timing, notarial acts, signers, witnesses, optional print/scan, parking/tolls when authorized, and other approved additions. Customer-entered mileage is not authority.</w:t>
      </w:r>
    </w:p>
    <w:p>
      <w:bookmarkStart w:id="1070" w:name="toc_71"/>
      <w:pPr>
        <w:pStyle w:val="Heading2"/>
      </w:pPr>
      <w:r>
        <w:t>22.6 Mobile Travel / Quote Decision Flow</w:t>
      </w:r>
      <w:bookmarkEnd w:id="1070"/>
    </w:p>
    <w:p>
      <w:pPr>
        <w:spacing w:after="120" w:line="293" w:lineRule="auto"/>
      </w:pPr>
      <w:r>
        <w:rPr>
          <w:rFonts w:ascii="Montserrat" w:hAnsi="Montserrat"/>
          <w:b w:val="0"/>
          <w:i w:val="0"/>
          <w:color w:val="2D2D2D"/>
          <w:sz w:val="21"/>
        </w:rPr>
        <w:t>Address complete? If NO, request information. If YES, route available? If YES, save route evidence and tier. If NO, obtain verified manual miles/reason. Then apply current pricing authority, review additions, and send the quote. Escalate unusual or unsafe travel.</w:t>
      </w:r>
    </w:p>
    <w:p>
      <w:bookmarkStart w:id="1071" w:name="toc_72"/>
      <w:pPr>
        <w:pStyle w:val="Heading2"/>
      </w:pPr>
      <w:r>
        <w:t>22.7 Requested Versus Confirmed Appointment</w:t>
      </w:r>
      <w:bookmarkEnd w:id="1071"/>
    </w:p>
    <w:p>
      <w:pPr>
        <w:spacing w:after="120" w:line="293" w:lineRule="auto"/>
      </w:pPr>
      <w:r>
        <w:rPr>
          <w:rFonts w:ascii="Montserrat" w:hAnsi="Montserrat"/>
          <w:b w:val="0"/>
          <w:i w:val="0"/>
          <w:color w:val="2D2D2D"/>
          <w:sz w:val="21"/>
        </w:rPr>
        <w:t>A preferred date/window is a request. A confirmed appointment has explicit date, time, timezone, location, contact, access, and readiness facts saved and communicated.</w:t>
      </w:r>
    </w:p>
    <w:p>
      <w:bookmarkStart w:id="1072" w:name="toc_73"/>
      <w:pPr>
        <w:pStyle w:val="Heading2"/>
      </w:pPr>
      <w:r>
        <w:t>22.8 Participant and Document Readiness</w:t>
      </w:r>
      <w:bookmarkEnd w:id="1072"/>
    </w:p>
    <w:p>
      <w:pPr>
        <w:spacing w:after="120" w:line="293" w:lineRule="auto"/>
      </w:pPr>
      <w:r>
        <w:rPr>
          <w:rFonts w:ascii="Montserrat" w:hAnsi="Montserrat"/>
          <w:b w:val="0"/>
          <w:i w:val="0"/>
          <w:color w:val="2D2D2D"/>
          <w:sz w:val="21"/>
        </w:rPr>
        <w:t>Verify signer identity path, willingness, document presence, supplied act, witnesses, and any print/scan expectation before dispatch.</w:t>
      </w:r>
    </w:p>
    <w:p>
      <w:bookmarkStart w:id="1073" w:name="toc_74"/>
      <w:pPr>
        <w:pStyle w:val="Heading2"/>
      </w:pPr>
      <w:r>
        <w:t>22.9 Safety, Reschedule, and Dispatch</w:t>
      </w:r>
      <w:bookmarkEnd w:id="1073"/>
    </w:p>
    <w:p>
      <w:pPr>
        <w:spacing w:after="120" w:line="293" w:lineRule="auto"/>
      </w:pPr>
      <w:r>
        <w:rPr>
          <w:rFonts w:ascii="Montserrat" w:hAnsi="Montserrat"/>
          <w:b w:val="0"/>
          <w:i w:val="0"/>
          <w:color w:val="2D2D2D"/>
          <w:sz w:val="21"/>
        </w:rPr>
        <w:t>Operators may stop or reschedule for unsafe location, threats, coercion, inability to communicate, identity failure, unwillingness, improper document/act demands, or material readiness failure. Record facts without inflammatory or sensitive detail.</w:t>
      </w:r>
    </w:p>
    <w:p>
      <w:bookmarkStart w:id="1074" w:name="toc_75"/>
      <w:pPr>
        <w:pStyle w:val="Heading1"/>
        <w:pageBreakBefore/>
      </w:pPr>
      <w:r>
        <w:t>Chapter 23 — Preparing the Mobile Notary Quote</w:t>
      </w:r>
      <w:bookmarkEnd w:id="1074"/>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bookmarkStart w:id="1075" w:name="toc_76"/>
      <w:pPr>
        <w:pStyle w:val="Heading2"/>
      </w:pPr>
      <w:r>
        <w:t>23.1–23.3 Readiness and Fee Inputs</w:t>
      </w:r>
      <w:bookmarkEnd w:id="1075"/>
    </w:p>
    <w:p>
      <w:pPr>
        <w:spacing w:after="120" w:line="293" w:lineRule="auto"/>
      </w:pPr>
      <w:r>
        <w:rPr>
          <w:rFonts w:ascii="Montserrat" w:hAnsi="Montserrat"/>
          <w:b w:val="0"/>
          <w:i w:val="0"/>
          <w:color w:val="2D2D2D"/>
          <w:sz w:val="21"/>
        </w:rPr>
        <w:t>Confirm the exact address and route evidence, appointment timing, signer/act count, witnesses, travel tier, after-hours status, optional print/scan, and authorized additions. Do not quote from a one-way distance when the pricing rule uses round trip.</w:t>
      </w:r>
    </w:p>
    <w:p>
      <w:bookmarkStart w:id="1076" w:name="toc_77"/>
      <w:pPr>
        <w:pStyle w:val="Heading2"/>
      </w:pPr>
      <w:r>
        <w:t>23.4 Build, Review, and Send</w:t>
      </w:r>
      <w:bookmarkEnd w:id="1076"/>
    </w:p>
    <w:p>
      <w:pPr>
        <w:spacing w:after="120" w:line="293" w:lineRule="auto"/>
      </w:pPr>
      <w:r>
        <w:rPr>
          <w:rFonts w:ascii="Montserrat" w:hAnsi="Montserrat"/>
          <w:b w:val="0"/>
          <w:i w:val="0"/>
          <w:color w:val="2D2D2D"/>
          <w:sz w:val="21"/>
        </w:rPr>
        <w:t>Build from current facts, verify each line once, review the customer-safe scope, and use the maintained quote communication.</w:t>
      </w:r>
    </w:p>
    <w:p>
      <w:bookmarkStart w:id="1077" w:name="toc_78"/>
      <w:pPr>
        <w:pStyle w:val="Heading2"/>
      </w:pPr>
      <w:r>
        <w:t>23.5 Approval and Payment</w:t>
      </w:r>
      <w:bookmarkEnd w:id="1077"/>
    </w:p>
    <w:p>
      <w:pPr>
        <w:spacing w:after="120" w:line="293" w:lineRule="auto"/>
      </w:pPr>
      <w:r>
        <w:rPr>
          <w:rFonts w:ascii="Montserrat" w:hAnsi="Montserrat"/>
          <w:b w:val="0"/>
          <w:i w:val="0"/>
          <w:color w:val="2D2D2D"/>
          <w:sz w:val="21"/>
        </w:rPr>
        <w:t>Tie approval to the current quote. Apply the prepaid dispatch gate unless authorized Business terms govern.</w:t>
      </w:r>
    </w:p>
    <w:p>
      <w:bookmarkStart w:id="1078" w:name="toc_79"/>
      <w:pPr>
        <w:pStyle w:val="Heading2"/>
      </w:pPr>
      <w:r>
        <w:t>23.6 Revision</w:t>
      </w:r>
      <w:bookmarkEnd w:id="1078"/>
    </w:p>
    <w:p>
      <w:pPr>
        <w:spacing w:after="120" w:line="293" w:lineRule="auto"/>
      </w:pPr>
      <w:r>
        <w:rPr>
          <w:rFonts w:ascii="Montserrat" w:hAnsi="Montserrat"/>
          <w:b w:val="0"/>
          <w:i w:val="0"/>
          <w:color w:val="2D2D2D"/>
          <w:sz w:val="21"/>
        </w:rPr>
        <w:t>Revise for a changed address, time, route, participants, witnesses, documents, service components, or authorized exception.</w:t>
      </w:r>
    </w:p>
    <w:p>
      <w:bookmarkStart w:id="1079" w:name="toc_80"/>
      <w:pPr>
        <w:pStyle w:val="Heading2"/>
      </w:pPr>
      <w:r>
        <w:t>23.7 Mobile Quote Readiness Checklist</w:t>
      </w:r>
      <w:bookmarkEnd w:id="1079"/>
    </w:p>
    <w:p>
      <w:pPr>
        <w:pStyle w:val="ListBullet"/>
        <w:spacing w:after="120" w:line="293" w:lineRule="auto"/>
      </w:pPr>
      <w:r>
        <w:rPr>
          <w:rFonts w:ascii="Montserrat" w:hAnsi="Montserrat"/>
          <w:b w:val="0"/>
          <w:i w:val="0"/>
          <w:color w:val="2D2D2D"/>
          <w:sz w:val="21"/>
        </w:rPr>
        <w:t>Complete service address and authorized origin.</w:t>
      </w:r>
    </w:p>
    <w:p>
      <w:pPr>
        <w:pStyle w:val="ListBullet"/>
        <w:spacing w:after="120" w:line="293" w:lineRule="auto"/>
      </w:pPr>
      <w:r>
        <w:rPr>
          <w:rFonts w:ascii="Montserrat" w:hAnsi="Montserrat"/>
          <w:b w:val="0"/>
          <w:i w:val="0"/>
          <w:color w:val="2D2D2D"/>
          <w:sz w:val="21"/>
        </w:rPr>
        <w:t>Round-trip route evidence or reasoned manual fallback.</w:t>
      </w:r>
    </w:p>
    <w:p>
      <w:pPr>
        <w:pStyle w:val="ListBullet"/>
        <w:spacing w:after="120" w:line="293" w:lineRule="auto"/>
      </w:pPr>
      <w:r>
        <w:rPr>
          <w:rFonts w:ascii="Montserrat" w:hAnsi="Montserrat"/>
          <w:b w:val="0"/>
          <w:i w:val="0"/>
          <w:color w:val="2D2D2D"/>
          <w:sz w:val="21"/>
        </w:rPr>
        <w:t>Appointment timing, acts, signers, witnesses, and optional services.</w:t>
      </w:r>
    </w:p>
    <w:p>
      <w:pPr>
        <w:pStyle w:val="ListBullet"/>
        <w:spacing w:after="120" w:line="293" w:lineRule="auto"/>
      </w:pPr>
      <w:r>
        <w:rPr>
          <w:rFonts w:ascii="Montserrat" w:hAnsi="Montserrat"/>
          <w:b w:val="0"/>
          <w:i w:val="0"/>
          <w:color w:val="2D2D2D"/>
          <w:sz w:val="21"/>
        </w:rPr>
        <w:t>Reviewed current quote and approval.</w:t>
      </w:r>
    </w:p>
    <w:p>
      <w:pPr>
        <w:pStyle w:val="ListBullet"/>
        <w:spacing w:after="120" w:line="293" w:lineRule="auto"/>
      </w:pPr>
      <w:r>
        <w:rPr>
          <w:rFonts w:ascii="Montserrat" w:hAnsi="Montserrat"/>
          <w:b w:val="0"/>
          <w:i w:val="0"/>
          <w:color w:val="2D2D2D"/>
          <w:sz w:val="21"/>
        </w:rPr>
        <w:t>Required dispatch payment or authorized terms.</w:t>
      </w:r>
    </w:p>
    <w:p>
      <w:bookmarkStart w:id="1080" w:name="toc_81"/>
      <w:pPr>
        <w:pStyle w:val="Heading1"/>
        <w:pageBreakBefore/>
      </w:pPr>
      <w:r>
        <w:t>Chapter 24 — Mobile Status, Operator Action &amp; Customer Communication Sequence</w:t>
      </w:r>
      <w:bookmarkEnd w:id="1080"/>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tbl>
      <w:tblPr>
        <w:tblW w:type="auto" w:w="0"/>
        <w:tblLayout w:type="fixed"/>
        <w:tblLook w:firstColumn="1" w:firstRow="1" w:lastColumn="0" w:lastRow="0" w:noHBand="0" w:noVBand="1" w:val="04A0"/>
      </w:tblPr>
      <w:tblGrid>
        <w:gridCol w:w="2448"/>
        <w:gridCol w:w="2448"/>
        <w:gridCol w:w="2448"/>
        <w:gridCol w:w="2448"/>
      </w:tblGrid>
      <w:tr>
        <w:trPr>
          <w:tblHeader w:val="true"/>
        </w:trPr>
        <w:tc>
          <w:tcPr>
            <w:tcW w:type="dxa" w:w="2448"/>
            <w:vAlign w:val="center"/>
            <w:tcMar>
              <w:top w:w="100" w:type="dxa"/>
              <w:start w:w="120" w:type="dxa"/>
              <w:bottom w:w="100" w:type="dxa"/>
              <w:end w:w="120" w:type="dxa"/>
            </w:tcMar>
            <w:shd w:fill="161C4D"/>
          </w:tcPr>
          <w:p>
            <w:pPr>
              <w:spacing w:after="0"/>
            </w:pPr>
            <w:r>
              <w:rPr>
                <w:rFonts w:ascii="Montserrat" w:hAnsi="Montserrat"/>
                <w:b/>
                <w:i w:val="0"/>
                <w:color w:val="FFFFFF"/>
                <w:sz w:val="16"/>
              </w:rPr>
              <w:t>Stage</w:t>
            </w:r>
          </w:p>
        </w:tc>
        <w:tc>
          <w:tcPr>
            <w:tcW w:type="dxa" w:w="2448"/>
            <w:vAlign w:val="center"/>
            <w:tcMar>
              <w:top w:w="100" w:type="dxa"/>
              <w:start w:w="120" w:type="dxa"/>
              <w:bottom w:w="100" w:type="dxa"/>
              <w:end w:w="120" w:type="dxa"/>
            </w:tcMar>
            <w:shd w:fill="161C4D"/>
          </w:tcPr>
          <w:p>
            <w:pPr>
              <w:spacing w:after="0"/>
            </w:pPr>
            <w:r>
              <w:rPr>
                <w:rFonts w:ascii="Montserrat" w:hAnsi="Montserrat"/>
                <w:b/>
                <w:i w:val="0"/>
                <w:color w:val="FFFFFF"/>
                <w:sz w:val="16"/>
              </w:rPr>
              <w:t>Operator action</w:t>
            </w:r>
          </w:p>
        </w:tc>
        <w:tc>
          <w:tcPr>
            <w:tcW w:type="dxa" w:w="2448"/>
            <w:vAlign w:val="center"/>
            <w:tcMar>
              <w:top w:w="100" w:type="dxa"/>
              <w:start w:w="120" w:type="dxa"/>
              <w:bottom w:w="100" w:type="dxa"/>
              <w:end w:w="120" w:type="dxa"/>
            </w:tcMar>
            <w:shd w:fill="161C4D"/>
          </w:tcPr>
          <w:p>
            <w:pPr>
              <w:spacing w:after="0"/>
            </w:pPr>
            <w:r>
              <w:rPr>
                <w:rFonts w:ascii="Montserrat" w:hAnsi="Montserrat"/>
                <w:b/>
                <w:i w:val="0"/>
                <w:color w:val="FFFFFF"/>
                <w:sz w:val="16"/>
              </w:rPr>
              <w:t>Communication</w:t>
            </w:r>
          </w:p>
        </w:tc>
        <w:tc>
          <w:tcPr>
            <w:tcW w:type="dxa" w:w="2448"/>
            <w:vAlign w:val="center"/>
            <w:tcMar>
              <w:top w:w="100" w:type="dxa"/>
              <w:start w:w="120" w:type="dxa"/>
              <w:bottom w:w="100" w:type="dxa"/>
              <w:end w:w="120" w:type="dxa"/>
            </w:tcMar>
            <w:shd w:fill="161C4D"/>
          </w:tcPr>
          <w:p>
            <w:pPr>
              <w:spacing w:after="0"/>
            </w:pPr>
            <w:r>
              <w:rPr>
                <w:rFonts w:ascii="Montserrat" w:hAnsi="Montserrat"/>
                <w:b/>
                <w:i w:val="0"/>
                <w:color w:val="FFFFFF"/>
                <w:sz w:val="16"/>
              </w:rPr>
              <w:t>Do not advance until</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Request Received</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review request, location, participants, documents</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maintained acknowledgment</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scoped request exists</w:t>
            </w:r>
          </w:p>
        </w:tc>
      </w:tr>
      <w:tr>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Information Needed</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request exact missing facts</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information-needed template</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blockers resolved</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Quote Ready/Approval</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review/send current quote</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quote-ready communication</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current version approved</w:t>
            </w:r>
          </w:p>
        </w:tc>
      </w:tr>
      <w:tr>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Payment Required/Received</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reconcile invoice/payment</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payment communication</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dispatch gate satisfied</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Appointment</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save confirmed facts</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Mobile confirmation/reminder</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time/location/contact ready</w:t>
            </w:r>
          </w:p>
        </w:tc>
      </w:tr>
      <w:tr>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Travel/Arrival</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follow maintained operational contact</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concise arrival/delay message if needed</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safety and access remain acceptable</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Service Completed</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finish act/certificate/journal review</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no premature completion promise</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table work verified</w:t>
            </w:r>
          </w:p>
        </w:tc>
      </w:tr>
      <w:tr>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Supplemental Invoice</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record authorized additions</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approved invoice/payment message</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required final balance resolved</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Scan Delivery</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review/classify/release optional scan</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released-document message</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scan QC and release complete</w:t>
            </w:r>
          </w:p>
        </w:tc>
      </w:tr>
      <w:tr>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Completion</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verify all components</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completion communication</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final gates pass</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Cancellation/Reschedule</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use maintained decision path</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approved change message</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financial/appointment history preserved</w:t>
            </w:r>
          </w:p>
        </w:tc>
      </w:tr>
    </w:tbl>
    <w:p>
      <w:pPr>
        <w:spacing w:after="40"/>
      </w:pPr>
    </w:p>
    <w:p>
      <w:bookmarkStart w:id="1081" w:name="toc_82"/>
      <w:pPr>
        <w:pStyle w:val="Heading2"/>
      </w:pPr>
      <w:r>
        <w:t>24.12 Timeline Evidence</w:t>
      </w:r>
      <w:bookmarkEnd w:id="1081"/>
    </w:p>
    <w:p>
      <w:pPr>
        <w:spacing w:after="120" w:line="293" w:lineRule="auto"/>
      </w:pPr>
      <w:r>
        <w:rPr>
          <w:rFonts w:ascii="Montserrat" w:hAnsi="Montserrat"/>
          <w:b w:val="0"/>
          <w:i w:val="0"/>
          <w:color w:val="2D2D2D"/>
          <w:sz w:val="21"/>
        </w:rPr>
        <w:t>For every communication, confirm recipient, channel, delivery state, related status/action, and Timeline evidence. Do not duplicate a successful message because the operator revisits the stage.</w:t>
      </w:r>
    </w:p>
    <w:p>
      <w:bookmarkStart w:id="1082" w:name="toc_83"/>
      <w:pPr>
        <w:pStyle w:val="Heading1"/>
        <w:pageBreakBefore/>
      </w:pPr>
      <w:r>
        <w:t>Chapter 25 — Mobile Fulfillment Gates, Appointment &amp; Closeout</w:t>
      </w:r>
      <w:bookmarkEnd w:id="1082"/>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bookmarkStart w:id="1083" w:name="toc_84"/>
      <w:pPr>
        <w:pStyle w:val="Heading2"/>
      </w:pPr>
      <w:r>
        <w:t>25.1 Readiness Gates</w:t>
      </w:r>
      <w:bookmarkEnd w:id="1083"/>
    </w:p>
    <w:p>
      <w:pPr>
        <w:spacing w:after="120" w:line="293" w:lineRule="auto"/>
      </w:pPr>
      <w:r>
        <w:rPr>
          <w:rFonts w:ascii="Montserrat" w:hAnsi="Montserrat"/>
          <w:b w:val="0"/>
          <w:i w:val="0"/>
          <w:color w:val="2D2D2D"/>
          <w:sz w:val="21"/>
        </w:rPr>
        <w:t>Request, location, travel price, participants, documents, quote, approval, payment, appointment, and travel/service readiness must all be supported before departure.</w:t>
      </w:r>
    </w:p>
    <w:p>
      <w:bookmarkStart w:id="1084" w:name="toc_85"/>
      <w:pPr>
        <w:pStyle w:val="Heading2"/>
      </w:pPr>
      <w:r>
        <w:t>25.2 Before You Leave</w:t>
      </w:r>
      <w:bookmarkEnd w:id="1084"/>
    </w:p>
    <w:p>
      <w:pPr>
        <w:spacing w:after="120" w:line="293" w:lineRule="auto"/>
      </w:pPr>
      <w:r>
        <w:rPr>
          <w:rFonts w:ascii="Montserrat" w:hAnsi="Montserrat"/>
          <w:b w:val="0"/>
          <w:i w:val="0"/>
          <w:color w:val="2D2D2D"/>
          <w:sz w:val="21"/>
        </w:rPr>
        <w:t>Verify address/access, contact, schedule, route, payment, documents, supplied act, credentials/tools, journal, seal, witnesses, print sets, scan plan, phone power, and safety plan.</w:t>
      </w:r>
    </w:p>
    <w:p>
      <w:bookmarkStart w:id="1085" w:name="toc_86"/>
      <w:pPr>
        <w:pStyle w:val="Heading2"/>
      </w:pPr>
      <w:r>
        <w:t>25.3 Travel and Arrival</w:t>
      </w:r>
      <w:bookmarkEnd w:id="1085"/>
    </w:p>
    <w:p>
      <w:pPr>
        <w:spacing w:after="120" w:line="293" w:lineRule="auto"/>
      </w:pPr>
      <w:r>
        <w:rPr>
          <w:rFonts w:ascii="Montserrat" w:hAnsi="Montserrat"/>
          <w:b w:val="0"/>
          <w:i w:val="0"/>
          <w:color w:val="2D2D2D"/>
          <w:sz w:val="21"/>
        </w:rPr>
        <w:t>Use the actual route safely. Record meaningful delay through the approved channel. At arrival, verify location and participant before exposing documents or beginning the act.</w:t>
      </w:r>
    </w:p>
    <w:p>
      <w:bookmarkStart w:id="1086" w:name="toc_87"/>
      <w:pPr>
        <w:pStyle w:val="Heading2"/>
      </w:pPr>
      <w:r>
        <w:t>25.4 At the Table</w:t>
      </w:r>
      <w:bookmarkEnd w:id="1086"/>
    </w:p>
    <w:p>
      <w:pPr>
        <w:spacing w:after="120" w:line="293" w:lineRule="auto"/>
      </w:pPr>
      <w:r>
        <w:rPr>
          <w:rFonts w:ascii="Montserrat" w:hAnsi="Montserrat"/>
          <w:b w:val="0"/>
          <w:i w:val="0"/>
          <w:color w:val="2D2D2D"/>
          <w:sz w:val="21"/>
        </w:rPr>
        <w:t>Confirm identity, willingness, awareness, document completeness for notarial handling, requested act, signatures, and witness roles. Keep explanations procedural and refer legal/document questions.</w:t>
      </w:r>
    </w:p>
    <w:p>
      <w:bookmarkStart w:id="1087" w:name="toc_88"/>
      <w:pPr>
        <w:pStyle w:val="Heading2"/>
      </w:pPr>
      <w:r>
        <w:t>25.5 Identity, Willingness, Act, and Certificate</w:t>
      </w:r>
      <w:bookmarkEnd w:id="1087"/>
    </w:p>
    <w:p>
      <w:pPr>
        <w:spacing w:after="120" w:line="293" w:lineRule="auto"/>
      </w:pPr>
      <w:r>
        <w:rPr>
          <w:rFonts w:ascii="Montserrat" w:hAnsi="Montserrat"/>
          <w:b w:val="0"/>
          <w:i w:val="0"/>
          <w:color w:val="2D2D2D"/>
          <w:sz w:val="21"/>
        </w:rPr>
        <w:t>Stop when satisfactory identification or willingness is absent. Complete only the authorized act and certificate; do not choose or rewrite legal content.</w:t>
      </w:r>
    </w:p>
    <w:p>
      <w:bookmarkStart w:id="1088" w:name="toc_89"/>
      <w:pPr>
        <w:pStyle w:val="Heading2"/>
      </w:pPr>
      <w:r>
        <w:t>25.6 Journal Completion</w:t>
      </w:r>
      <w:bookmarkEnd w:id="1088"/>
    </w:p>
    <w:p>
      <w:pPr>
        <w:spacing w:after="120" w:line="293" w:lineRule="auto"/>
      </w:pPr>
      <w:r>
        <w:rPr>
          <w:rFonts w:ascii="Montserrat" w:hAnsi="Montserrat"/>
          <w:b w:val="0"/>
          <w:i w:val="0"/>
          <w:color w:val="2D2D2D"/>
          <w:sz w:val="21"/>
        </w:rPr>
        <w:t>Complete the required journal record contemporaneously and protect it. Do not place unnecessary sensitive credential data in APS notes.</w:t>
      </w:r>
    </w:p>
    <w:p>
      <w:bookmarkStart w:id="1089" w:name="toc_90"/>
      <w:pPr>
        <w:pStyle w:val="Heading2"/>
      </w:pPr>
      <w:r>
        <w:t>25.7 Optional Scan</w:t>
      </w:r>
      <w:bookmarkEnd w:id="1089"/>
    </w:p>
    <w:p>
      <w:pPr>
        <w:spacing w:after="120" w:line="293" w:lineRule="auto"/>
      </w:pPr>
      <w:r>
        <w:rPr>
          <w:rFonts w:ascii="Montserrat" w:hAnsi="Montserrat"/>
          <w:b w:val="0"/>
          <w:i w:val="0"/>
          <w:color w:val="2D2D2D"/>
          <w:sz w:val="21"/>
        </w:rPr>
        <w:t>Scan only when included/authorized. Preserve page order, legibility, orientation, and file integrity; upload as internal until reviewed and released.</w:t>
      </w:r>
    </w:p>
    <w:p>
      <w:bookmarkStart w:id="1090" w:name="toc_91"/>
      <w:pPr>
        <w:pStyle w:val="Heading2"/>
      </w:pPr>
      <w:r>
        <w:t>25.8 Final Charges</w:t>
      </w:r>
      <w:bookmarkEnd w:id="1090"/>
    </w:p>
    <w:p>
      <w:pPr>
        <w:spacing w:after="120" w:line="293" w:lineRule="auto"/>
      </w:pPr>
      <w:r>
        <w:rPr>
          <w:rFonts w:ascii="Montserrat" w:hAnsi="Montserrat"/>
          <w:b w:val="0"/>
          <w:i w:val="0"/>
          <w:color w:val="2D2D2D"/>
          <w:sz w:val="21"/>
        </w:rPr>
        <w:t>Record only verified, authorized additions. Do not collect an improvised onsite fee. Use supplemental invoicing and administrator review where required.</w:t>
      </w:r>
    </w:p>
    <w:p>
      <w:bookmarkStart w:id="1091" w:name="toc_92"/>
      <w:pPr>
        <w:pStyle w:val="Heading2"/>
      </w:pPr>
      <w:r>
        <w:t>25.9 Delivery</w:t>
      </w:r>
      <w:bookmarkEnd w:id="1091"/>
    </w:p>
    <w:p>
      <w:pPr>
        <w:spacing w:after="120" w:line="293" w:lineRule="auto"/>
      </w:pPr>
      <w:r>
        <w:rPr>
          <w:rFonts w:ascii="Montserrat" w:hAnsi="Montserrat"/>
          <w:b w:val="0"/>
          <w:i w:val="0"/>
          <w:color w:val="2D2D2D"/>
          <w:sz w:val="21"/>
        </w:rPr>
        <w:t>Follow the agreed physical/digital delivery path and record evidence. Customer portal visibility requires explicit release of eligible digital output.</w:t>
      </w:r>
    </w:p>
    <w:p>
      <w:bookmarkStart w:id="1092" w:name="toc_93"/>
      <w:pPr>
        <w:pStyle w:val="Heading2"/>
      </w:pPr>
      <w:r>
        <w:t>25.10 Before You Drive Away</w:t>
      </w:r>
      <w:bookmarkEnd w:id="1092"/>
    </w:p>
    <w:p>
      <w:pPr>
        <w:spacing w:after="120" w:line="293" w:lineRule="auto"/>
      </w:pPr>
      <w:r>
        <w:rPr>
          <w:rFonts w:ascii="Montserrat" w:hAnsi="Montserrat"/>
          <w:b w:val="0"/>
          <w:i w:val="0"/>
          <w:color w:val="2D2D2D"/>
          <w:sz w:val="21"/>
        </w:rPr>
        <w:t>Recheck signatures, initials, dates, certificate, seal, journal, page order, witnesses, originals/copies, scan expectation, and return/delivery instructions while correction may still be possible.</w:t>
      </w:r>
    </w:p>
    <w:p>
      <w:bookmarkStart w:id="1093" w:name="toc_94"/>
      <w:pPr>
        <w:pStyle w:val="Heading2"/>
      </w:pPr>
      <w:r>
        <w:t>25.11 Final Money and Completion Gates</w:t>
      </w:r>
      <w:bookmarkEnd w:id="1093"/>
    </w:p>
    <w:p>
      <w:pPr>
        <w:spacing w:after="120" w:line="293" w:lineRule="auto"/>
      </w:pPr>
      <w:r>
        <w:rPr>
          <w:rFonts w:ascii="Montserrat" w:hAnsi="Montserrat"/>
          <w:b w:val="0"/>
          <w:i w:val="0"/>
          <w:color w:val="2D2D2D"/>
          <w:sz w:val="21"/>
        </w:rPr>
        <w:t>Verify required balance, appointment/service evidence, optional scan release, physical delivery, and exceptions. Do not let a zero balance substitute for fulfillment evidence.</w:t>
      </w:r>
    </w:p>
    <w:p>
      <w:bookmarkStart w:id="1094" w:name="toc_95"/>
      <w:pPr>
        <w:pStyle w:val="Heading2"/>
      </w:pPr>
      <w:r>
        <w:t>25.12 Exceptions, Safety, and Quick References</w:t>
      </w:r>
      <w:bookmarkEnd w:id="1094"/>
    </w:p>
    <w:p>
      <w:pPr>
        <w:spacing w:after="120" w:line="293" w:lineRule="auto"/>
      </w:pPr>
      <w:r>
        <w:rPr>
          <w:rFonts w:ascii="Montserrat" w:hAnsi="Montserrat"/>
          <w:b w:val="0"/>
          <w:i w:val="0"/>
          <w:color w:val="2D2D2D"/>
          <w:sz w:val="21"/>
        </w:rPr>
        <w:t>Use the maintained Mobile Before You Leave, At the Table, Journal Reminder, Before You Drive Away, Optional Scan, Closeout, and Safety/Stop cards. Escalate threats, coercion, identity failure, prohibited advice requests, document irregularity, or unapproved financial demands.</w:t>
      </w:r>
    </w:p>
    <w:p>
      <w:r>
        <w:br w:type="page"/>
      </w:r>
    </w:p>
    <w:p>
      <w:bookmarkStart w:id="1095" w:name="toc_96"/>
      <w:pPr>
        <w:pStyle w:val="Title"/>
      </w:pPr>
      <w:r>
        <w:t>PART VIII — PRINT &amp; SCAN</w:t>
      </w:r>
      <w:bookmarkEnd w:id="1095"/>
    </w:p>
    <w:p>
      <w:bookmarkStart w:id="1096" w:name="toc_97"/>
      <w:pPr>
        <w:pStyle w:val="Heading1"/>
        <w:pageBreakBefore/>
      </w:pPr>
      <w:r>
        <w:t>Chapter 26 — Print &amp; Scan Workflow &amp; Quote Preparation</w:t>
      </w:r>
      <w:bookmarkEnd w:id="1096"/>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pPr>
        <w:jc w:val="center"/>
      </w:pPr>
      <w:r>
        <w:drawing>
          <wp:inline xmlns:a="http://schemas.openxmlformats.org/drawingml/2006/main" xmlns:pic="http://schemas.openxmlformats.org/drawingml/2006/picture">
            <wp:extent cx="5760720" cy="1613002"/>
            <wp:docPr id="4" name="Picture 4" descr="Print &amp; Scan Workflow Map with connected workflow steps and decision gates"/>
            <wp:cNvGraphicFramePr>
              <a:graphicFrameLocks noChangeAspect="1"/>
            </wp:cNvGraphicFramePr>
            <a:graphic>
              <a:graphicData uri="http://schemas.openxmlformats.org/drawingml/2006/picture">
                <pic:pic>
                  <pic:nvPicPr>
                    <pic:cNvPr id="0" name="fig-18-print-scan-workflow.png"/>
                    <pic:cNvPicPr/>
                  </pic:nvPicPr>
                  <pic:blipFill>
                    <a:blip r:embed="rId14"/>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Print &amp; Scan Workflow Map</w:t>
      </w:r>
    </w:p>
    <w:p>
      <w:bookmarkStart w:id="1097" w:name="toc_98"/>
      <w:pPr>
        <w:pStyle w:val="Heading2"/>
      </w:pPr>
      <w:r>
        <w:t>26.1 Print &amp; Scan Workflow Map</w:t>
      </w:r>
      <w:bookmarkEnd w:id="1097"/>
    </w:p>
    <w:p>
      <w:pPr>
        <w:spacing w:after="120" w:line="293" w:lineRule="auto"/>
      </w:pPr>
      <w:r>
        <w:rPr>
          <w:rFonts w:ascii="Montserrat" w:hAnsi="Montserrat"/>
          <w:b w:val="0"/>
          <w:i w:val="0"/>
          <w:color w:val="2D2D2D"/>
          <w:sz w:val="21"/>
        </w:rPr>
        <w:t>Request/file intake → source review → authoritative page count/specifications → quote/approval → payment → production → first-copy/final QC → scan/file integrity when applicable → pickup/courier/portal delivery → completion.</w:t>
      </w:r>
    </w:p>
    <w:p>
      <w:bookmarkStart w:id="1098" w:name="toc_99"/>
      <w:pPr>
        <w:pStyle w:val="Heading2"/>
      </w:pPr>
      <w:r>
        <w:t>26.2 When Ready to Quote</w:t>
      </w:r>
      <w:bookmarkEnd w:id="1098"/>
    </w:p>
    <w:p>
      <w:pPr>
        <w:spacing w:after="120" w:line="293" w:lineRule="auto"/>
      </w:pPr>
      <w:r>
        <w:rPr>
          <w:rFonts w:ascii="Montserrat" w:hAnsi="Montserrat"/>
          <w:b w:val="0"/>
          <w:i w:val="0"/>
          <w:color w:val="2D2D2D"/>
          <w:sz w:val="21"/>
        </w:rPr>
        <w:t>The active source opens, page count is verified, specifications are complete, delivery is known, and special handling is authorized.</w:t>
      </w:r>
    </w:p>
    <w:p>
      <w:bookmarkStart w:id="1099" w:name="toc_100"/>
      <w:pPr>
        <w:pStyle w:val="Heading2"/>
      </w:pPr>
      <w:r>
        <w:t>26.3 File Opens and Authoritative Page Count</w:t>
      </w:r>
      <w:bookmarkEnd w:id="1099"/>
    </w:p>
    <w:p>
      <w:pPr>
        <w:spacing w:after="120" w:line="293" w:lineRule="auto"/>
      </w:pPr>
      <w:r>
        <w:rPr>
          <w:rFonts w:ascii="Montserrat" w:hAnsi="Montserrat"/>
          <w:b w:val="0"/>
          <w:i w:val="0"/>
          <w:color w:val="2D2D2D"/>
          <w:sz w:val="21"/>
        </w:rPr>
        <w:t>Use the maintained parser result when reliable. If manual review is required, count the active source and record the verified whole-number count. A changed source after quote triggers pricing review.</w:t>
      </w:r>
    </w:p>
    <w:p>
      <w:bookmarkStart w:id="1100" w:name="toc_101"/>
      <w:pPr>
        <w:pStyle w:val="Heading2"/>
      </w:pPr>
      <w:r>
        <w:t>26.4 Production Requirements</w:t>
      </w:r>
      <w:bookmarkEnd w:id="1100"/>
    </w:p>
    <w:p>
      <w:pPr>
        <w:spacing w:after="120" w:line="293" w:lineRule="auto"/>
      </w:pPr>
      <w:r>
        <w:rPr>
          <w:rFonts w:ascii="Montserrat" w:hAnsi="Montserrat"/>
          <w:b w:val="0"/>
          <w:i w:val="0"/>
          <w:color w:val="2D2D2D"/>
          <w:sz w:val="21"/>
        </w:rPr>
        <w:t>Confirm B&amp;W/color, copies, paper size/type, sides, scaling, orientation, finishing if supported, and any mixed instructions. Do not assume printer defaults are the customer specification.</w:t>
      </w:r>
    </w:p>
    <w:p>
      <w:bookmarkStart w:id="1101" w:name="toc_102"/>
      <w:pPr>
        <w:pStyle w:val="Heading2"/>
      </w:pPr>
      <w:r>
        <w:t>26.5 Scanning, PDF Support, and Delivery</w:t>
      </w:r>
      <w:bookmarkEnd w:id="1101"/>
    </w:p>
    <w:p>
      <w:pPr>
        <w:spacing w:after="120" w:line="293" w:lineRule="auto"/>
      </w:pPr>
      <w:r>
        <w:rPr>
          <w:rFonts w:ascii="Montserrat" w:hAnsi="Montserrat"/>
          <w:b w:val="0"/>
          <w:i w:val="0"/>
          <w:color w:val="2D2D2D"/>
          <w:sz w:val="21"/>
        </w:rPr>
        <w:t>Confirm pages to scan, source order, PDF merge/split expectation, filename, resolution/legibility, and pickup/courier/mobile/digital delivery path.</w:t>
      </w:r>
    </w:p>
    <w:p>
      <w:bookmarkStart w:id="1102" w:name="toc_103"/>
      <w:pPr>
        <w:pStyle w:val="Heading2"/>
      </w:pPr>
      <w:r>
        <w:t>26.6 Build Through Revision</w:t>
      </w:r>
      <w:bookmarkEnd w:id="1102"/>
    </w:p>
    <w:p>
      <w:pPr>
        <w:spacing w:after="120" w:line="293" w:lineRule="auto"/>
      </w:pPr>
      <w:r>
        <w:rPr>
          <w:rFonts w:ascii="Montserrat" w:hAnsi="Montserrat"/>
          <w:b w:val="0"/>
          <w:i w:val="0"/>
          <w:color w:val="2D2D2D"/>
          <w:sz w:val="21"/>
        </w:rPr>
        <w:t>Build from verified page volume and specifications; review, send, obtain approval, satisfy payment, and revise when the source/specification/delivery changes.</w:t>
      </w:r>
    </w:p>
    <w:p>
      <w:bookmarkStart w:id="1103" w:name="toc_104"/>
      <w:pPr>
        <w:pStyle w:val="Heading2"/>
      </w:pPr>
      <w:r>
        <w:t>26.7 Quote Readiness Checklist</w:t>
      </w:r>
      <w:bookmarkEnd w:id="1103"/>
    </w:p>
    <w:p>
      <w:pPr>
        <w:pStyle w:val="ListBullet"/>
        <w:spacing w:after="120" w:line="293" w:lineRule="auto"/>
      </w:pPr>
      <w:r>
        <w:rPr>
          <w:rFonts w:ascii="Montserrat" w:hAnsi="Montserrat"/>
          <w:b w:val="0"/>
          <w:i w:val="0"/>
          <w:color w:val="2D2D2D"/>
          <w:sz w:val="21"/>
        </w:rPr>
        <w:t>Active file opens and authoritative page count is recorded.</w:t>
      </w:r>
    </w:p>
    <w:p>
      <w:pPr>
        <w:pStyle w:val="ListBullet"/>
        <w:spacing w:after="120" w:line="293" w:lineRule="auto"/>
      </w:pPr>
      <w:r>
        <w:rPr>
          <w:rFonts w:ascii="Montserrat" w:hAnsi="Montserrat"/>
          <w:b w:val="0"/>
          <w:i w:val="0"/>
          <w:color w:val="2D2D2D"/>
          <w:sz w:val="21"/>
        </w:rPr>
        <w:t>Color, copies, paper, sides, scaling, scan, and delivery are explicit.</w:t>
      </w:r>
    </w:p>
    <w:p>
      <w:pPr>
        <w:pStyle w:val="ListBullet"/>
        <w:spacing w:after="120" w:line="293" w:lineRule="auto"/>
      </w:pPr>
      <w:r>
        <w:rPr>
          <w:rFonts w:ascii="Montserrat" w:hAnsi="Montserrat"/>
          <w:b w:val="0"/>
          <w:i w:val="0"/>
          <w:color w:val="2D2D2D"/>
          <w:sz w:val="21"/>
        </w:rPr>
        <w:t>Changed-file and pricing-review flags are cleared legitimately.</w:t>
      </w:r>
    </w:p>
    <w:p>
      <w:pPr>
        <w:pStyle w:val="ListBullet"/>
        <w:spacing w:after="120" w:line="293" w:lineRule="auto"/>
      </w:pPr>
      <w:r>
        <w:rPr>
          <w:rFonts w:ascii="Montserrat" w:hAnsi="Montserrat"/>
          <w:b w:val="0"/>
          <w:i w:val="0"/>
          <w:color w:val="2D2D2D"/>
          <w:sz w:val="21"/>
        </w:rPr>
        <w:t>Current quote is reviewed, sent, approved, and paid/term-authorized.</w:t>
      </w:r>
    </w:p>
    <w:p>
      <w:bookmarkStart w:id="1104" w:name="toc_105"/>
      <w:pPr>
        <w:pStyle w:val="Heading1"/>
        <w:pageBreakBefore/>
      </w:pPr>
      <w:r>
        <w:t>Chapter 27 — Print &amp; Scan Status, Operator Action &amp; Customer Communication Sequence</w:t>
      </w:r>
      <w:bookmarkEnd w:id="1104"/>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tbl>
      <w:tblPr>
        <w:tblW w:type="auto" w:w="0"/>
        <w:tblLayout w:type="fixed"/>
        <w:tblLook w:firstColumn="1" w:firstRow="1" w:lastColumn="0" w:lastRow="0" w:noHBand="0" w:noVBand="1" w:val="04A0"/>
      </w:tblPr>
      <w:tblGrid>
        <w:gridCol w:w="2448"/>
        <w:gridCol w:w="2448"/>
        <w:gridCol w:w="2448"/>
        <w:gridCol w:w="2448"/>
      </w:tblGrid>
      <w:tr>
        <w:trPr>
          <w:tblHeader w:val="true"/>
        </w:trPr>
        <w:tc>
          <w:tcPr>
            <w:tcW w:type="dxa" w:w="2448"/>
            <w:vAlign w:val="center"/>
            <w:tcMar>
              <w:top w:w="100" w:type="dxa"/>
              <w:start w:w="120" w:type="dxa"/>
              <w:bottom w:w="100" w:type="dxa"/>
              <w:end w:w="120" w:type="dxa"/>
            </w:tcMar>
            <w:shd w:fill="161C4D"/>
          </w:tcPr>
          <w:p>
            <w:pPr>
              <w:spacing w:after="0"/>
            </w:pPr>
            <w:r>
              <w:rPr>
                <w:rFonts w:ascii="Montserrat" w:hAnsi="Montserrat"/>
                <w:b/>
                <w:i w:val="0"/>
                <w:color w:val="FFFFFF"/>
                <w:sz w:val="16"/>
              </w:rPr>
              <w:t>Stage</w:t>
            </w:r>
          </w:p>
        </w:tc>
        <w:tc>
          <w:tcPr>
            <w:tcW w:type="dxa" w:w="2448"/>
            <w:vAlign w:val="center"/>
            <w:tcMar>
              <w:top w:w="100" w:type="dxa"/>
              <w:start w:w="120" w:type="dxa"/>
              <w:bottom w:w="100" w:type="dxa"/>
              <w:end w:w="120" w:type="dxa"/>
            </w:tcMar>
            <w:shd w:fill="161C4D"/>
          </w:tcPr>
          <w:p>
            <w:pPr>
              <w:spacing w:after="0"/>
            </w:pPr>
            <w:r>
              <w:rPr>
                <w:rFonts w:ascii="Montserrat" w:hAnsi="Montserrat"/>
                <w:b/>
                <w:i w:val="0"/>
                <w:color w:val="FFFFFF"/>
                <w:sz w:val="16"/>
              </w:rPr>
              <w:t>Operator action</w:t>
            </w:r>
          </w:p>
        </w:tc>
        <w:tc>
          <w:tcPr>
            <w:tcW w:type="dxa" w:w="2448"/>
            <w:vAlign w:val="center"/>
            <w:tcMar>
              <w:top w:w="100" w:type="dxa"/>
              <w:start w:w="120" w:type="dxa"/>
              <w:bottom w:w="100" w:type="dxa"/>
              <w:end w:w="120" w:type="dxa"/>
            </w:tcMar>
            <w:shd w:fill="161C4D"/>
          </w:tcPr>
          <w:p>
            <w:pPr>
              <w:spacing w:after="0"/>
            </w:pPr>
            <w:r>
              <w:rPr>
                <w:rFonts w:ascii="Montserrat" w:hAnsi="Montserrat"/>
                <w:b/>
                <w:i w:val="0"/>
                <w:color w:val="FFFFFF"/>
                <w:sz w:val="16"/>
              </w:rPr>
              <w:t>Communication</w:t>
            </w:r>
          </w:p>
        </w:tc>
        <w:tc>
          <w:tcPr>
            <w:tcW w:type="dxa" w:w="2448"/>
            <w:vAlign w:val="center"/>
            <w:tcMar>
              <w:top w:w="100" w:type="dxa"/>
              <w:start w:w="120" w:type="dxa"/>
              <w:bottom w:w="100" w:type="dxa"/>
              <w:end w:w="120" w:type="dxa"/>
            </w:tcMar>
            <w:shd w:fill="161C4D"/>
          </w:tcPr>
          <w:p>
            <w:pPr>
              <w:spacing w:after="0"/>
            </w:pPr>
            <w:r>
              <w:rPr>
                <w:rFonts w:ascii="Montserrat" w:hAnsi="Montserrat"/>
                <w:b/>
                <w:i w:val="0"/>
                <w:color w:val="FFFFFF"/>
                <w:sz w:val="16"/>
              </w:rPr>
              <w:t>Gate / evidence</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File/Request Received</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inspect source and service details</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acknowledgment where maintained</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active file mapped</w:t>
            </w:r>
          </w:p>
        </w:tc>
      </w:tr>
      <w:tr>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Information Needed</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request exact file/specification</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information-needed message</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source/spec complete</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Quote Ready/Approval</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review/send quote</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quote-ready message</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approved current version</w:t>
            </w:r>
          </w:p>
        </w:tc>
      </w:tr>
      <w:tr>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Payment Required/Received</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reconcile invoice/payment</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payment message</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production payment gate</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Production</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schedule and produce from active source</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status only when useful/approved</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no unapproved source change</w:t>
            </w:r>
          </w:p>
        </w:tc>
      </w:tr>
      <w:tr>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Completed Output</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first-copy and final QC</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no release promise before review</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QC evidence</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Delivery</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pickup/courier/portal path</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delivery-ready/released message</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physical proof or digital release</w:t>
            </w:r>
          </w:p>
        </w:tc>
      </w:tr>
      <w:tr>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Completion</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verify all purchased components</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completion message</w:t>
            </w:r>
          </w:p>
        </w:tc>
        <w:tc>
          <w:tcPr>
            <w:tcW w:type="dxa" w:w="2448"/>
            <w:vAlign w:val="center"/>
            <w:tcMar>
              <w:top w:w="100" w:type="dxa"/>
              <w:start w:w="120" w:type="dxa"/>
              <w:bottom w:w="100" w:type="dxa"/>
              <w:end w:w="120" w:type="dxa"/>
            </w:tcMar>
            <w:shd w:fill="F6F3EE"/>
          </w:tcPr>
          <w:p>
            <w:pPr>
              <w:spacing w:after="0"/>
            </w:pPr>
            <w:r>
              <w:rPr>
                <w:rFonts w:ascii="Montserrat" w:hAnsi="Montserrat"/>
                <w:b w:val="0"/>
                <w:i w:val="0"/>
                <w:color w:val="2D2D2D"/>
                <w:sz w:val="16"/>
              </w:rPr>
              <w:t>final gate passes</w:t>
            </w:r>
          </w:p>
        </w:tc>
      </w:tr>
      <w:tr>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Cancellation/Problem</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stop production safely, preserve facts</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approved exception message</w:t>
            </w:r>
          </w:p>
        </w:tc>
        <w:tc>
          <w:tcPr>
            <w:tcW w:type="dxa" w:w="2448"/>
            <w:vAlign w:val="center"/>
            <w:tcMar>
              <w:top w:w="100" w:type="dxa"/>
              <w:start w:w="120" w:type="dxa"/>
              <w:bottom w:w="100" w:type="dxa"/>
              <w:end w:w="120" w:type="dxa"/>
            </w:tcMar>
            <w:shd w:fill="FFFFFF"/>
          </w:tcPr>
          <w:p>
            <w:pPr>
              <w:spacing w:after="0"/>
            </w:pPr>
            <w:r>
              <w:rPr>
                <w:rFonts w:ascii="Montserrat" w:hAnsi="Montserrat"/>
                <w:b w:val="0"/>
                <w:i w:val="0"/>
                <w:color w:val="2D2D2D"/>
                <w:sz w:val="16"/>
              </w:rPr>
              <w:t>financial/material review</w:t>
            </w:r>
          </w:p>
        </w:tc>
      </w:tr>
    </w:tbl>
    <w:p>
      <w:pPr>
        <w:spacing w:after="40"/>
      </w:pPr>
    </w:p>
    <w:p>
      <w:bookmarkStart w:id="1105" w:name="toc_106"/>
      <w:pPr>
        <w:pStyle w:val="Heading2"/>
      </w:pPr>
      <w:r>
        <w:t>27.10 Timeline Evidence</w:t>
      </w:r>
      <w:bookmarkEnd w:id="1105"/>
    </w:p>
    <w:p>
      <w:pPr>
        <w:spacing w:after="120" w:line="293" w:lineRule="auto"/>
      </w:pPr>
      <w:r>
        <w:rPr>
          <w:rFonts w:ascii="Montserrat" w:hAnsi="Montserrat"/>
          <w:b w:val="0"/>
          <w:i w:val="0"/>
          <w:color w:val="2D2D2D"/>
          <w:sz w:val="21"/>
        </w:rPr>
        <w:t>Record source version, page count review, quote/payment, production/QC, delivery/release, communications, and completion. Failed delivery is not “sent,” and uploaded output is not automatically released.</w:t>
      </w:r>
    </w:p>
    <w:p>
      <w:bookmarkStart w:id="1106" w:name="toc_107"/>
      <w:pPr>
        <w:pStyle w:val="Heading1"/>
        <w:pageBreakBefore/>
      </w:pPr>
      <w:r>
        <w:t>Chapter 28 — Print &amp; Scan Fulfillment Gates, Production &amp; Closeout</w:t>
      </w:r>
      <w:bookmarkEnd w:id="1106"/>
    </w:p>
    <w:p>
      <w:pPr>
        <w:spacing w:after="120" w:line="293" w:lineRule="auto"/>
      </w:pPr>
      <w:r>
        <w:rPr>
          <w:rFonts w:ascii="Montserrat" w:hAnsi="Montserrat"/>
          <w:b w:val="0"/>
          <w:i w:val="0"/>
          <w:color w:val="2D2D2D"/>
          <w:sz w:val="21"/>
        </w:rPr>
        <w:t>Purpose: perform this workflow from verified APS evidence while preserving customer, legal, notarial, financial, and provider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Recognize readiness, perform the maintained operator action, communicate at the correct time, stop at blockers, and leave an auditable record.</w:t>
      </w:r>
    </w:p>
    <w:p>
      <w:bookmarkStart w:id="1107" w:name="toc_108"/>
      <w:pPr>
        <w:pStyle w:val="Heading2"/>
      </w:pPr>
      <w:r>
        <w:t>28.1–28.7 Preproduction Gates</w:t>
      </w:r>
      <w:bookmarkEnd w:id="1107"/>
    </w:p>
    <w:p>
      <w:pPr>
        <w:spacing w:after="120" w:line="293" w:lineRule="auto"/>
      </w:pPr>
      <w:r>
        <w:rPr>
          <w:rFonts w:ascii="Montserrat" w:hAnsi="Montserrat"/>
          <w:b w:val="0"/>
          <w:i w:val="0"/>
          <w:color w:val="2D2D2D"/>
          <w:sz w:val="21"/>
        </w:rPr>
        <w:t>File received, file opens, page count, specifications, quote, approval, and payment/terms each require evidence. A failure at any one prevents production start.</w:t>
      </w:r>
    </w:p>
    <w:p>
      <w:bookmarkStart w:id="1108" w:name="toc_109"/>
      <w:pPr>
        <w:pStyle w:val="Heading2"/>
      </w:pPr>
      <w:r>
        <w:t>28.8 Production-Start Boundary</w:t>
      </w:r>
      <w:bookmarkEnd w:id="1108"/>
    </w:p>
    <w:p>
      <w:pPr>
        <w:spacing w:after="120" w:line="293" w:lineRule="auto"/>
      </w:pPr>
      <w:r>
        <w:rPr>
          <w:rFonts w:ascii="Montserrat" w:hAnsi="Montserrat"/>
          <w:b w:val="0"/>
          <w:i w:val="0"/>
          <w:color w:val="2D2D2D"/>
          <w:sz w:val="21"/>
        </w:rPr>
        <w:t>Confirm the active source/version and approved specifications immediately before starting. Preserve superseded files; do not silently substitute a newer attachment.</w:t>
      </w:r>
    </w:p>
    <w:p>
      <w:bookmarkStart w:id="1109" w:name="toc_110"/>
      <w:pPr>
        <w:pStyle w:val="Heading2"/>
      </w:pPr>
      <w:r>
        <w:t>28.9 First-Copy and Final QC</w:t>
      </w:r>
      <w:bookmarkEnd w:id="1109"/>
    </w:p>
    <w:p>
      <w:pPr>
        <w:spacing w:after="120" w:line="293" w:lineRule="auto"/>
      </w:pPr>
      <w:r>
        <w:rPr>
          <w:rFonts w:ascii="Montserrat" w:hAnsi="Montserrat"/>
          <w:b w:val="0"/>
          <w:i w:val="0"/>
          <w:color w:val="2D2D2D"/>
          <w:sz w:val="21"/>
        </w:rPr>
        <w:t>Inspect first/last and problem-prone pages for count, order, orientation, scale, margins, clipping, color, readability, paper, and sides. Then verify the entire final set and copy count.</w:t>
      </w:r>
    </w:p>
    <w:p>
      <w:bookmarkStart w:id="1110" w:name="toc_111"/>
      <w:pPr>
        <w:pStyle w:val="Heading2"/>
      </w:pPr>
      <w:r>
        <w:t>28.10 Scan QC, Naming, and Integrity</w:t>
      </w:r>
      <w:bookmarkEnd w:id="1110"/>
    </w:p>
    <w:p>
      <w:pPr>
        <w:spacing w:after="120" w:line="293" w:lineRule="auto"/>
      </w:pPr>
      <w:r>
        <w:rPr>
          <w:rFonts w:ascii="Montserrat" w:hAnsi="Montserrat"/>
          <w:b w:val="0"/>
          <w:i w:val="0"/>
          <w:color w:val="2D2D2D"/>
          <w:sz w:val="21"/>
        </w:rPr>
        <w:t>Compare source pages to scanned pages, check order/orientation/legibility, open the final PDF, verify merge/split behavior and filename, and retain provenance. Do not release a file merely because upload succeeded.</w:t>
      </w:r>
    </w:p>
    <w:p>
      <w:bookmarkStart w:id="1111" w:name="toc_112"/>
      <w:pPr>
        <w:pStyle w:val="Heading2"/>
      </w:pPr>
      <w:r>
        <w:t>28.11 Delivery</w:t>
      </w:r>
      <w:bookmarkEnd w:id="1111"/>
    </w:p>
    <w:p>
      <w:pPr>
        <w:spacing w:after="120" w:line="293" w:lineRule="auto"/>
      </w:pPr>
      <w:r>
        <w:rPr>
          <w:rFonts w:ascii="Montserrat" w:hAnsi="Montserrat"/>
          <w:b w:val="0"/>
          <w:i w:val="0"/>
          <w:color w:val="2D2D2D"/>
          <w:sz w:val="21"/>
        </w:rPr>
        <w:t>For pickup, record readiness/handoff. For courier/mobile delivery, record destination and proof. For digital output, classify, review, and explicitly release only the intended customer deliverable.</w:t>
      </w:r>
    </w:p>
    <w:p>
      <w:bookmarkStart w:id="1112" w:name="toc_113"/>
      <w:pPr>
        <w:pStyle w:val="Heading2"/>
      </w:pPr>
      <w:r>
        <w:t>28.12 Completion</w:t>
      </w:r>
      <w:bookmarkEnd w:id="1112"/>
    </w:p>
    <w:p>
      <w:pPr>
        <w:spacing w:after="120" w:line="293" w:lineRule="auto"/>
      </w:pPr>
      <w:r>
        <w:rPr>
          <w:rFonts w:ascii="Montserrat" w:hAnsi="Montserrat"/>
          <w:b w:val="0"/>
          <w:i w:val="0"/>
          <w:color w:val="2D2D2D"/>
          <w:sz w:val="21"/>
        </w:rPr>
        <w:t>Confirm every purchased component: print/copy, scan, courier/mobile delivery, payment/terms, and customer release when APS owes a digital deliverable.</w:t>
      </w:r>
    </w:p>
    <w:p>
      <w:bookmarkStart w:id="1113" w:name="toc_114"/>
      <w:pPr>
        <w:pStyle w:val="Heading2"/>
      </w:pPr>
      <w:r>
        <w:t>28.13 Exceptions and Recovery</w:t>
      </w:r>
      <w:bookmarkEnd w:id="1113"/>
    </w:p>
    <w:p>
      <w:pPr>
        <w:spacing w:after="120" w:line="293" w:lineRule="auto"/>
      </w:pPr>
      <w:r>
        <w:rPr>
          <w:rFonts w:ascii="Montserrat" w:hAnsi="Montserrat"/>
          <w:b w:val="0"/>
          <w:i w:val="0"/>
          <w:color w:val="2D2D2D"/>
          <w:sz w:val="21"/>
        </w:rPr>
        <w:t>Stop for wrong source, changed page count, clipping, unreadable output, missing pages, wrong order, damaged source, failed delivery, or privacy risk. Preserve the bad output internally, correct from authoritative source, repeat QC, and communicate through the approved workflow.</w:t>
      </w:r>
    </w:p>
    <w:p>
      <w:bookmarkStart w:id="1114" w:name="toc_115"/>
      <w:pPr>
        <w:pStyle w:val="Heading2"/>
      </w:pPr>
      <w:r>
        <w:t>28.14 Quick References</w:t>
      </w:r>
      <w:bookmarkEnd w:id="1114"/>
    </w:p>
    <w:p>
      <w:pPr>
        <w:spacing w:after="120" w:line="293" w:lineRule="auto"/>
      </w:pPr>
      <w:r>
        <w:rPr>
          <w:rFonts w:ascii="Montserrat" w:hAnsi="Montserrat"/>
          <w:b w:val="0"/>
          <w:i w:val="0"/>
          <w:color w:val="2D2D2D"/>
          <w:sz w:val="21"/>
        </w:rPr>
        <w:t>Use Print &amp; Scan Workflow, Quote Readiness, Production Specifications, First-Copy QC, Scan QC, File Naming/Integrity, Delivery, and Closeout cards.</w:t>
      </w:r>
    </w:p>
    <w:sectPr w:rsidR="00FC693F" w:rsidRPr="0006063C" w:rsidSect="00034616">
      <w:headerReference w:type="default" r:id="rId9"/>
      <w:footerReference w:type="default" r:id="rId10"/>
      <w:pgSz w:w="12240" w:h="15840"/>
      <w:pgMar w:top="1152" w:right="1224" w:bottom="1080"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b w:val="0"/>
        <w:i w:val="0"/>
        <w:color w:val="6B6D78"/>
        <w:sz w:val="16"/>
      </w:rPr>
      <w:t>Release 10 Certified Operations Edition  ·  Batch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ontserrat" w:hAnsi="Montserrat"/>
        <w:b/>
        <w:i w:val="0"/>
        <w:color w:val="6B6D78"/>
        <w:sz w:val="16"/>
      </w:rPr>
      <w:t>ALIGNED PRINT &amp; SCAN  |  OPERATOR HANDBOOK · PARTS V–VIII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ontserrat" w:hAnsi="Montserrat"/>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Playfair Display" w:hAnsi="Playfair Display"/>
      <w:b/>
      <w:bCs/>
      <w:color w:val="161C4D"/>
      <w:sz w:val="4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Playfair Display" w:hAnsi="Playfair Display"/>
      <w:b/>
      <w:bCs/>
      <w:color w:val="161C4D"/>
      <w:sz w:val="3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Montserrat" w:hAnsi="Montserrat"/>
      <w:b/>
      <w:bCs/>
      <w:color w:val="161C4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Operator Handbook — Batch 2 Parts V–VIII</dc:title>
  <dc:subject/>
  <dc:creator>Aligned Print &amp; Scan</dc:creator>
  <cp:keywords/>
  <dc:description>generated by python-docx</dc:description>
  <cp:lastModifiedBy/>
  <cp:revision>1</cp:revision>
  <dcterms:created xsi:type="dcterms:W3CDTF">2013-12-23T23:15:00Z</dcterms:created>
  <dcterms:modified xsi:type="dcterms:W3CDTF">2013-12-23T23:15:00Z</dcterms:modified>
  <cp:category/>
</cp:coreProperties>
</file>