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ontserrat" w:hAnsi="Montserrat"/>
          <w:b/>
          <w:i w:val="0"/>
          <w:color w:val="C8A96B"/>
          <w:sz w:val="26"/>
        </w:rPr>
        <w:t>ALIGNED PRINT &amp; SCAN</w:t>
      </w:r>
    </w:p>
    <w:p>
      <w:pPr>
        <w:jc w:val="center"/>
      </w:pPr>
      <w:r>
        <w:rPr>
          <w:rFonts w:ascii="Playfair Display" w:hAnsi="Playfair Display"/>
          <w:b/>
          <w:i w:val="0"/>
          <w:color w:val="161C4D"/>
          <w:sz w:val="68"/>
        </w:rPr>
        <w:t>OPERATOR</w:t>
        <w:br/>
        <w:t>HANDBOOK</w:t>
      </w:r>
    </w:p>
    <w:p>
      <w:pPr>
        <w:jc w:val="center"/>
      </w:pPr>
      <w:r>
        <w:rPr>
          <w:rFonts w:ascii="Montserrat" w:hAnsi="Montserrat"/>
          <w:b/>
          <w:i w:val="0"/>
          <w:color w:val="6B6D78"/>
          <w:sz w:val="28"/>
        </w:rPr>
        <w:t>Release 10 Certified Operations Edition</w:t>
      </w:r>
    </w:p>
    <w:p>
      <w:pPr>
        <w:spacing w:before="1100"/>
        <w:jc w:val="center"/>
      </w:pPr>
      <w:r>
        <w:rPr>
          <w:rFonts w:ascii="Montserrat" w:hAnsi="Montserrat"/>
          <w:b/>
          <w:i w:val="0"/>
          <w:color w:val="C8A96B"/>
          <w:sz w:val="20"/>
        </w:rPr>
        <w:t>BATCH 3  |  PART IX  |  CHAPTERS 29–40</w:t>
      </w:r>
    </w:p>
    <w:p>
      <w:r>
        <w:br w:type="page"/>
      </w:r>
    </w:p>
    <w:p>
      <w:pPr>
        <w:pStyle w:val="Title"/>
      </w:pPr>
      <w:r>
        <w:t>Contents</w:t>
      </w:r>
    </w:p>
    <w:p>
      <w:pPr>
        <w:spacing w:after="120" w:line="293" w:lineRule="auto"/>
      </w:pPr>
      <w:r>
        <w:rPr>
          <w:rFonts w:ascii="Montserrat" w:hAnsi="Montserrat"/>
          <w:b w:val="0"/>
          <w:i w:val="0"/>
          <w:color w:val="2D2D2D"/>
          <w:sz w:val="21"/>
        </w:rPr>
        <w:t>Part, Chapter, and numbered subsection entries link to the controlled publication headings.</w:t>
      </w:r>
    </w:p>
    <w:p>
      <w:pPr>
        <w:spacing w:after="40"/>
        <w:ind w:left="0"/>
      </w:pPr>
      <w:hyperlink w:anchor="toc_1" w:history="1">
        <w:r>
          <w:rPr>
            <w:color w:val="161C4D"/>
            <w:u w:val="single"/>
          </w:rPr>
          <w:t>PART IX — LOAN SIGNING</w:t>
        </w:r>
      </w:hyperlink>
    </w:p>
    <w:p>
      <w:pPr>
        <w:spacing w:after="40"/>
        <w:ind w:left="288"/>
      </w:pPr>
      <w:hyperlink w:anchor="toc_2" w:history="1">
        <w:r>
          <w:rPr>
            <w:color w:val="161C4D"/>
            <w:u w:val="single"/>
          </w:rPr>
          <w:t>Chapter 29 — Loan Signing Foundations &amp; Workflow</w:t>
        </w:r>
      </w:hyperlink>
    </w:p>
    <w:p>
      <w:pPr>
        <w:spacing w:after="40"/>
        <w:ind w:left="648"/>
      </w:pPr>
      <w:hyperlink w:anchor="toc_3" w:history="1">
        <w:r>
          <w:rPr>
            <w:color w:val="161C4D"/>
            <w:u w:val="single"/>
          </w:rPr>
          <w:t>29.1 Loan Signing Versus Mobile Notary</w:t>
        </w:r>
      </w:hyperlink>
    </w:p>
    <w:p>
      <w:pPr>
        <w:spacing w:after="40"/>
        <w:ind w:left="648"/>
      </w:pPr>
      <w:hyperlink w:anchor="toc_4" w:history="1">
        <w:r>
          <w:rPr>
            <w:color w:val="161C4D"/>
            <w:u w:val="single"/>
          </w:rPr>
          <w:t>29.2 Ordering Party Versus Signer</w:t>
        </w:r>
      </w:hyperlink>
    </w:p>
    <w:p>
      <w:pPr>
        <w:spacing w:after="40"/>
        <w:ind w:left="648"/>
      </w:pPr>
      <w:hyperlink w:anchor="toc_5" w:history="1">
        <w:r>
          <w:rPr>
            <w:color w:val="161C4D"/>
            <w:u w:val="single"/>
          </w:rPr>
          <w:t>29.3 Role and Signing-Agent Boundaries</w:t>
        </w:r>
      </w:hyperlink>
    </w:p>
    <w:p>
      <w:pPr>
        <w:spacing w:after="40"/>
        <w:ind w:left="648"/>
      </w:pPr>
      <w:hyperlink w:anchor="toc_6" w:history="1">
        <w:r>
          <w:rPr>
            <w:color w:val="161C4D"/>
            <w:u w:val="single"/>
          </w:rPr>
          <w:t>29.4 Signing Types</w:t>
        </w:r>
      </w:hyperlink>
    </w:p>
    <w:p>
      <w:pPr>
        <w:spacing w:after="40"/>
        <w:ind w:left="648"/>
      </w:pPr>
      <w:hyperlink w:anchor="toc_7" w:history="1">
        <w:r>
          <w:rPr>
            <w:color w:val="161C4D"/>
            <w:u w:val="single"/>
          </w:rPr>
          <w:t>29.5 Signing Methods</w:t>
        </w:r>
      </w:hyperlink>
    </w:p>
    <w:p>
      <w:pPr>
        <w:spacing w:after="40"/>
        <w:ind w:left="648"/>
      </w:pPr>
      <w:hyperlink w:anchor="toc_8" w:history="1">
        <w:r>
          <w:rPr>
            <w:color w:val="161C4D"/>
            <w:u w:val="single"/>
          </w:rPr>
          <w:t>29.6 Property and Signing Addresses</w:t>
        </w:r>
      </w:hyperlink>
    </w:p>
    <w:p>
      <w:pPr>
        <w:spacing w:after="40"/>
        <w:ind w:left="648"/>
      </w:pPr>
      <w:hyperlink w:anchor="toc_9" w:history="1">
        <w:r>
          <w:rPr>
            <w:color w:val="161C4D"/>
            <w:u w:val="single"/>
          </w:rPr>
          <w:t>29.7 Company, Order, and Escrow Identifiers</w:t>
        </w:r>
      </w:hyperlink>
    </w:p>
    <w:p>
      <w:pPr>
        <w:spacing w:after="40"/>
        <w:ind w:left="648"/>
      </w:pPr>
      <w:hyperlink w:anchor="toc_10" w:history="1">
        <w:r>
          <w:rPr>
            <w:color w:val="161C4D"/>
            <w:u w:val="single"/>
          </w:rPr>
          <w:t>29.8 Structured Signers</w:t>
        </w:r>
      </w:hyperlink>
    </w:p>
    <w:p>
      <w:pPr>
        <w:spacing w:after="40"/>
        <w:ind w:left="648"/>
      </w:pPr>
      <w:hyperlink w:anchor="toc_11" w:history="1">
        <w:r>
          <w:rPr>
            <w:color w:val="161C4D"/>
            <w:u w:val="single"/>
          </w:rPr>
          <w:t>29.9 Eight Broad APS Stages</w:t>
        </w:r>
      </w:hyperlink>
    </w:p>
    <w:p>
      <w:pPr>
        <w:spacing w:after="40"/>
        <w:ind w:left="648"/>
      </w:pPr>
      <w:hyperlink w:anchor="toc_12" w:history="1">
        <w:r>
          <w:rPr>
            <w:color w:val="161C4D"/>
            <w:u w:val="single"/>
          </w:rPr>
          <w:t>29.10 Sensitive Information</w:t>
        </w:r>
      </w:hyperlink>
    </w:p>
    <w:p>
      <w:pPr>
        <w:spacing w:after="40"/>
        <w:ind w:left="648"/>
      </w:pPr>
      <w:hyperlink w:anchor="toc_13" w:history="1">
        <w:r>
          <w:rPr>
            <w:color w:val="161C4D"/>
            <w:u w:val="single"/>
          </w:rPr>
          <w:t>29.11 Loan Signing Workflow Map</w:t>
        </w:r>
      </w:hyperlink>
    </w:p>
    <w:p>
      <w:pPr>
        <w:spacing w:after="40"/>
        <w:ind w:left="288"/>
      </w:pPr>
      <w:hyperlink w:anchor="toc_14" w:history="1">
        <w:r>
          <w:rPr>
            <w:color w:val="161C4D"/>
            <w:u w:val="single"/>
          </w:rPr>
          <w:t>Chapter 30 — Loan Package Types</w:t>
        </w:r>
      </w:hyperlink>
    </w:p>
    <w:p>
      <w:pPr>
        <w:spacing w:after="40"/>
        <w:ind w:left="648"/>
      </w:pPr>
      <w:hyperlink w:anchor="toc_15" w:history="1">
        <w:r>
          <w:rPr>
            <w:color w:val="161C4D"/>
            <w:u w:val="single"/>
          </w:rPr>
          <w:t>30.1 Buyer / Purchase</w:t>
        </w:r>
      </w:hyperlink>
    </w:p>
    <w:p>
      <w:pPr>
        <w:spacing w:after="40"/>
        <w:ind w:left="648"/>
      </w:pPr>
      <w:hyperlink w:anchor="toc_16" w:history="1">
        <w:r>
          <w:rPr>
            <w:color w:val="161C4D"/>
            <w:u w:val="single"/>
          </w:rPr>
          <w:t>30.2 Seller</w:t>
        </w:r>
      </w:hyperlink>
    </w:p>
    <w:p>
      <w:pPr>
        <w:spacing w:after="40"/>
        <w:ind w:left="648"/>
      </w:pPr>
      <w:hyperlink w:anchor="toc_17" w:history="1">
        <w:r>
          <w:rPr>
            <w:color w:val="161C4D"/>
            <w:u w:val="single"/>
          </w:rPr>
          <w:t>30.3 Refinance</w:t>
        </w:r>
      </w:hyperlink>
    </w:p>
    <w:p>
      <w:pPr>
        <w:spacing w:after="40"/>
        <w:ind w:left="648"/>
      </w:pPr>
      <w:hyperlink w:anchor="toc_18" w:history="1">
        <w:r>
          <w:rPr>
            <w:color w:val="161C4D"/>
            <w:u w:val="single"/>
          </w:rPr>
          <w:t>30.4 HELOC</w:t>
        </w:r>
      </w:hyperlink>
    </w:p>
    <w:p>
      <w:pPr>
        <w:spacing w:after="40"/>
        <w:ind w:left="648"/>
      </w:pPr>
      <w:hyperlink w:anchor="toc_19" w:history="1">
        <w:r>
          <w:rPr>
            <w:color w:val="161C4D"/>
            <w:u w:val="single"/>
          </w:rPr>
          <w:t>30.5 Loan Modification</w:t>
        </w:r>
      </w:hyperlink>
    </w:p>
    <w:p>
      <w:pPr>
        <w:spacing w:after="40"/>
        <w:ind w:left="648"/>
      </w:pPr>
      <w:hyperlink w:anchor="toc_20" w:history="1">
        <w:r>
          <w:rPr>
            <w:color w:val="161C4D"/>
            <w:u w:val="single"/>
          </w:rPr>
          <w:t>30.6 Reverse Mortgage</w:t>
        </w:r>
      </w:hyperlink>
    </w:p>
    <w:p>
      <w:pPr>
        <w:spacing w:after="40"/>
        <w:ind w:left="648"/>
      </w:pPr>
      <w:hyperlink w:anchor="toc_21" w:history="1">
        <w:r>
          <w:rPr>
            <w:color w:val="161C4D"/>
            <w:u w:val="single"/>
          </w:rPr>
          <w:t>30.7 Commercial / Custom</w:t>
        </w:r>
      </w:hyperlink>
    </w:p>
    <w:p>
      <w:pPr>
        <w:spacing w:after="40"/>
        <w:ind w:left="288"/>
      </w:pPr>
      <w:hyperlink w:anchor="toc_22" w:history="1">
        <w:r>
          <w:rPr>
            <w:color w:val="161C4D"/>
            <w:u w:val="single"/>
          </w:rPr>
          <w:t>Chapter 31 — Common Loan Document Reference</w:t>
        </w:r>
      </w:hyperlink>
    </w:p>
    <w:p>
      <w:pPr>
        <w:spacing w:after="40"/>
        <w:ind w:left="288"/>
      </w:pPr>
      <w:hyperlink w:anchor="toc_23" w:history="1">
        <w:r>
          <w:rPr>
            <w:color w:val="161C4D"/>
            <w:u w:val="single"/>
          </w:rPr>
          <w:t>Chapter 32 — Loan Signing Intake &amp; Assignment Review</w:t>
        </w:r>
      </w:hyperlink>
    </w:p>
    <w:p>
      <w:pPr>
        <w:spacing w:after="40"/>
        <w:ind w:left="648"/>
      </w:pPr>
      <w:hyperlink w:anchor="toc_24" w:history="1">
        <w:r>
          <w:rPr>
            <w:color w:val="161C4D"/>
            <w:u w:val="single"/>
          </w:rPr>
          <w:t>32.1–32.4 Order, Parties, Identifiers, and Addresses</w:t>
        </w:r>
      </w:hyperlink>
    </w:p>
    <w:p>
      <w:pPr>
        <w:spacing w:after="40"/>
        <w:ind w:left="648"/>
      </w:pPr>
      <w:hyperlink w:anchor="toc_25" w:history="1">
        <w:r>
          <w:rPr>
            <w:color w:val="161C4D"/>
            <w:u w:val="single"/>
          </w:rPr>
          <w:t>32.5–32.8 Scope and Instructions</w:t>
        </w:r>
      </w:hyperlink>
    </w:p>
    <w:p>
      <w:pPr>
        <w:spacing w:after="40"/>
        <w:ind w:left="648"/>
      </w:pPr>
      <w:hyperlink w:anchor="toc_26" w:history="1">
        <w:r>
          <w:rPr>
            <w:color w:val="161C4D"/>
            <w:u w:val="single"/>
          </w:rPr>
          <w:t>32.9 Assignment Review Procedure</w:t>
        </w:r>
      </w:hyperlink>
    </w:p>
    <w:p>
      <w:pPr>
        <w:spacing w:after="40"/>
        <w:ind w:left="288"/>
      </w:pPr>
      <w:hyperlink w:anchor="toc_27" w:history="1">
        <w:r>
          <w:rPr>
            <w:color w:val="161C4D"/>
            <w:u w:val="single"/>
          </w:rPr>
          <w:t>Chapter 33 — Preparing the Loan Signing Quote</w:t>
        </w:r>
      </w:hyperlink>
    </w:p>
    <w:p>
      <w:pPr>
        <w:spacing w:after="40"/>
        <w:ind w:left="648"/>
      </w:pPr>
      <w:hyperlink w:anchor="toc_28" w:history="1">
        <w:r>
          <w:rPr>
            <w:color w:val="161C4D"/>
            <w:u w:val="single"/>
          </w:rPr>
          <w:t>33.1–33.5 Quote Inputs</w:t>
        </w:r>
      </w:hyperlink>
    </w:p>
    <w:p>
      <w:pPr>
        <w:spacing w:after="40"/>
        <w:ind w:left="648"/>
      </w:pPr>
      <w:hyperlink w:anchor="toc_29" w:history="1">
        <w:r>
          <w:rPr>
            <w:color w:val="161C4D"/>
            <w:u w:val="single"/>
          </w:rPr>
          <w:t>33.6–33.9 Review, Approval, Payment, Revision</w:t>
        </w:r>
      </w:hyperlink>
    </w:p>
    <w:p>
      <w:pPr>
        <w:spacing w:after="40"/>
        <w:ind w:left="288"/>
      </w:pPr>
      <w:hyperlink w:anchor="toc_30" w:history="1">
        <w:r>
          <w:rPr>
            <w:color w:val="161C4D"/>
            <w:u w:val="single"/>
          </w:rPr>
          <w:t>Chapter 34 — Loan Signing Status, Operator Action &amp; Customer Communication Sequence</w:t>
        </w:r>
      </w:hyperlink>
    </w:p>
    <w:p>
      <w:pPr>
        <w:spacing w:after="40"/>
        <w:ind w:left="288"/>
      </w:pPr>
      <w:hyperlink w:anchor="toc_31" w:history="1">
        <w:r>
          <w:rPr>
            <w:color w:val="161C4D"/>
            <w:u w:val="single"/>
          </w:rPr>
          <w:t>Chapter 35 — Loan Signing Fulfillment Gates</w:t>
        </w:r>
      </w:hyperlink>
    </w:p>
    <w:p>
      <w:pPr>
        <w:spacing w:after="40"/>
        <w:ind w:left="648"/>
      </w:pPr>
      <w:hyperlink w:anchor="toc_32" w:history="1">
        <w:r>
          <w:rPr>
            <w:color w:val="161C4D"/>
            <w:u w:val="single"/>
          </w:rPr>
          <w:t>35.1 Ten-Gate Framework</w:t>
        </w:r>
      </w:hyperlink>
    </w:p>
    <w:p>
      <w:pPr>
        <w:spacing w:after="40"/>
        <w:ind w:left="648"/>
      </w:pPr>
      <w:hyperlink w:anchor="toc_33" w:history="1">
        <w:r>
          <w:rPr>
            <w:color w:val="161C4D"/>
            <w:u w:val="single"/>
          </w:rPr>
          <w:t>35.2 Gate Rule</w:t>
        </w:r>
      </w:hyperlink>
    </w:p>
    <w:p>
      <w:pPr>
        <w:spacing w:after="40"/>
        <w:ind w:left="288"/>
      </w:pPr>
      <w:hyperlink w:anchor="toc_34" w:history="1">
        <w:r>
          <w:rPr>
            <w:color w:val="161C4D"/>
            <w:u w:val="single"/>
          </w:rPr>
          <w:t>Chapter 36 — Package Preparation &amp; Printing</w:t>
        </w:r>
      </w:hyperlink>
    </w:p>
    <w:p>
      <w:pPr>
        <w:spacing w:after="40"/>
        <w:ind w:left="648"/>
      </w:pPr>
      <w:hyperlink w:anchor="toc_35" w:history="1">
        <w:r>
          <w:rPr>
            <w:color w:val="161C4D"/>
            <w:u w:val="single"/>
          </w:rPr>
          <w:t>36.1 Package Version Decision Tree</w:t>
        </w:r>
      </w:hyperlink>
    </w:p>
    <w:p>
      <w:pPr>
        <w:spacing w:after="40"/>
        <w:ind w:left="648"/>
      </w:pPr>
      <w:hyperlink w:anchor="toc_36" w:history="1">
        <w:r>
          <w:rPr>
            <w:color w:val="161C4D"/>
            <w:u w:val="single"/>
          </w:rPr>
          <w:t>36.2 Authoritative Page Count and Print Volume</w:t>
        </w:r>
      </w:hyperlink>
    </w:p>
    <w:p>
      <w:pPr>
        <w:spacing w:after="40"/>
        <w:ind w:left="648"/>
      </w:pPr>
      <w:hyperlink w:anchor="toc_37" w:history="1">
        <w:r>
          <w:rPr>
            <w:color w:val="161C4D"/>
            <w:u w:val="single"/>
          </w:rPr>
          <w:t>36.3 Print and QC Procedure</w:t>
        </w:r>
      </w:hyperlink>
    </w:p>
    <w:p>
      <w:pPr>
        <w:spacing w:after="40"/>
        <w:ind w:left="288"/>
      </w:pPr>
      <w:hyperlink w:anchor="toc_38" w:history="1">
        <w:r>
          <w:rPr>
            <w:color w:val="161C4D"/>
            <w:u w:val="single"/>
          </w:rPr>
          <w:t>Chapter 37 — Conducting the Loan Signing</w:t>
        </w:r>
      </w:hyperlink>
    </w:p>
    <w:p>
      <w:pPr>
        <w:spacing w:after="40"/>
        <w:ind w:left="648"/>
      </w:pPr>
      <w:hyperlink w:anchor="toc_39" w:history="1">
        <w:r>
          <w:rPr>
            <w:color w:val="161C4D"/>
            <w:u w:val="single"/>
          </w:rPr>
          <w:t>37.1–37.3 Before Leaving, What to Bring, Arrival</w:t>
        </w:r>
      </w:hyperlink>
    </w:p>
    <w:p>
      <w:pPr>
        <w:spacing w:after="40"/>
        <w:ind w:left="648"/>
      </w:pPr>
      <w:hyperlink w:anchor="toc_40" w:history="1">
        <w:r>
          <w:rPr>
            <w:color w:val="161C4D"/>
            <w:u w:val="single"/>
          </w:rPr>
          <w:t>37.4–37.9 Identity Through Common Document Presentation</w:t>
        </w:r>
      </w:hyperlink>
    </w:p>
    <w:p>
      <w:pPr>
        <w:spacing w:after="40"/>
        <w:ind w:left="648"/>
      </w:pPr>
      <w:hyperlink w:anchor="toc_41" w:history="1">
        <w:r>
          <w:rPr>
            <w:color w:val="161C4D"/>
            <w:u w:val="single"/>
          </w:rPr>
          <w:t>37.10–37.13 Signer Questions and Ordering-Party Contact</w:t>
        </w:r>
      </w:hyperlink>
    </w:p>
    <w:p>
      <w:pPr>
        <w:spacing w:after="40"/>
        <w:ind w:left="648"/>
      </w:pPr>
      <w:hyperlink w:anchor="toc_42" w:history="1">
        <w:r>
          <w:rPr>
            <w:color w:val="161C4D"/>
            <w:u w:val="single"/>
          </w:rPr>
          <w:t>37.14–37.16 Stipulations, Table Check, Departure</w:t>
        </w:r>
      </w:hyperlink>
    </w:p>
    <w:p>
      <w:pPr>
        <w:spacing w:after="40"/>
        <w:ind w:left="288"/>
      </w:pPr>
      <w:hyperlink w:anchor="toc_43" w:history="1">
        <w:r>
          <w:rPr>
            <w:color w:val="161C4D"/>
            <w:u w:val="single"/>
          </w:rPr>
          <w:t>Chapter 38 — Scanbacks, Approval &amp; Return</w:t>
        </w:r>
      </w:hyperlink>
    </w:p>
    <w:p>
      <w:pPr>
        <w:spacing w:after="40"/>
        <w:ind w:left="648"/>
      </w:pPr>
      <w:hyperlink w:anchor="toc_44" w:history="1">
        <w:r>
          <w:rPr>
            <w:color w:val="161C4D"/>
            <w:u w:val="single"/>
          </w:rPr>
          <w:t>38.1–38.4 Requirements, Selection, Upload, Rescan</w:t>
        </w:r>
      </w:hyperlink>
    </w:p>
    <w:p>
      <w:pPr>
        <w:spacing w:after="40"/>
        <w:ind w:left="648"/>
      </w:pPr>
      <w:hyperlink w:anchor="toc_45" w:history="1">
        <w:r>
          <w:rPr>
            <w:color w:val="161C4D"/>
            <w:u w:val="single"/>
          </w:rPr>
          <w:t>38.5–38.7 Approval Before Return</w:t>
        </w:r>
      </w:hyperlink>
    </w:p>
    <w:p>
      <w:pPr>
        <w:spacing w:after="40"/>
        <w:ind w:left="648"/>
      </w:pPr>
      <w:hyperlink w:anchor="toc_46" w:history="1">
        <w:r>
          <w:rPr>
            <w:color w:val="161C4D"/>
            <w:u w:val="single"/>
          </w:rPr>
          <w:t>38.8–38.10 Physical Return and Completion Readiness</w:t>
        </w:r>
      </w:hyperlink>
    </w:p>
    <w:p>
      <w:pPr>
        <w:spacing w:after="40"/>
        <w:ind w:left="648"/>
      </w:pPr>
      <w:hyperlink w:anchor="toc_47" w:history="1">
        <w:r>
          <w:rPr>
            <w:color w:val="161C4D"/>
            <w:u w:val="single"/>
          </w:rPr>
          <w:t>38.11 Scanback → Approval → Return Decision Tree</w:t>
        </w:r>
      </w:hyperlink>
    </w:p>
    <w:p>
      <w:pPr>
        <w:spacing w:after="40"/>
        <w:ind w:left="648"/>
      </w:pPr>
      <w:hyperlink w:anchor="toc_48" w:history="1">
        <w:r>
          <w:rPr>
            <w:color w:val="161C4D"/>
            <w:u w:val="single"/>
          </w:rPr>
          <w:t>38.12 Non-Negotiable Hold</w:t>
        </w:r>
      </w:hyperlink>
    </w:p>
    <w:p>
      <w:pPr>
        <w:spacing w:after="40"/>
        <w:ind w:left="288"/>
      </w:pPr>
      <w:hyperlink w:anchor="toc_49" w:history="1">
        <w:r>
          <w:rPr>
            <w:color w:val="161C4D"/>
            <w:u w:val="single"/>
          </w:rPr>
          <w:t>Chapter 39 — Loan Signing Exceptions &amp; Financial Resolution</w:t>
        </w:r>
      </w:hyperlink>
    </w:p>
    <w:p>
      <w:pPr>
        <w:spacing w:after="40"/>
        <w:ind w:left="648"/>
      </w:pPr>
      <w:hyperlink w:anchor="toc_50" w:history="1">
        <w:r>
          <w:rPr>
            <w:color w:val="161C4D"/>
            <w:u w:val="single"/>
          </w:rPr>
          <w:t>39.1–39.5 Cancellation, No-Sign, Partial, Resign, Cause</w:t>
        </w:r>
      </w:hyperlink>
    </w:p>
    <w:p>
      <w:pPr>
        <w:spacing w:after="40"/>
        <w:ind w:left="648"/>
      </w:pPr>
      <w:hyperlink w:anchor="toc_51" w:history="1">
        <w:r>
          <w:rPr>
            <w:color w:val="161C4D"/>
            <w:u w:val="single"/>
          </w:rPr>
          <w:t>39.6 Excessive Wait</w:t>
        </w:r>
      </w:hyperlink>
    </w:p>
    <w:p>
      <w:pPr>
        <w:spacing w:after="40"/>
        <w:ind w:left="648"/>
      </w:pPr>
      <w:hyperlink w:anchor="toc_52" w:history="1">
        <w:r>
          <w:rPr>
            <w:color w:val="161C4D"/>
            <w:u w:val="single"/>
          </w:rPr>
          <w:t>39.7–39.11 Stops, Review, Supplemental Invoice, Refund, Resolution</w:t>
        </w:r>
      </w:hyperlink>
    </w:p>
    <w:p>
      <w:pPr>
        <w:spacing w:after="40"/>
        <w:ind w:left="648"/>
      </w:pPr>
      <w:hyperlink w:anchor="toc_53" w:history="1">
        <w:r>
          <w:rPr>
            <w:color w:val="161C4D"/>
            <w:u w:val="single"/>
          </w:rPr>
          <w:t>39.12 Loan Signing Exception Decision Tree</w:t>
        </w:r>
      </w:hyperlink>
    </w:p>
    <w:p>
      <w:pPr>
        <w:spacing w:after="40"/>
        <w:ind w:left="648"/>
      </w:pPr>
      <w:hyperlink w:anchor="toc_54" w:history="1">
        <w:r>
          <w:rPr>
            <w:color w:val="161C4D"/>
            <w:u w:val="single"/>
          </w:rPr>
          <w:t>39.13 Resign Rule</w:t>
        </w:r>
      </w:hyperlink>
    </w:p>
    <w:p>
      <w:pPr>
        <w:spacing w:after="40"/>
        <w:ind w:left="288"/>
      </w:pPr>
      <w:hyperlink w:anchor="toc_55" w:history="1">
        <w:r>
          <w:rPr>
            <w:color w:val="161C4D"/>
            <w:u w:val="single"/>
          </w:rPr>
          <w:t>Chapter 40 — Loan Signing Closeout &amp; Completion</w:t>
        </w:r>
      </w:hyperlink>
    </w:p>
    <w:p>
      <w:pPr>
        <w:spacing w:after="40"/>
        <w:ind w:left="648"/>
      </w:pPr>
      <w:hyperlink w:anchor="toc_56" w:history="1">
        <w:r>
          <w:rPr>
            <w:color w:val="161C4D"/>
            <w:u w:val="single"/>
          </w:rPr>
          <w:t>40.1–40.5 Completion Evidence</w:t>
        </w:r>
      </w:hyperlink>
    </w:p>
    <w:p>
      <w:pPr>
        <w:spacing w:after="40"/>
        <w:ind w:left="648"/>
      </w:pPr>
      <w:hyperlink w:anchor="toc_57" w:history="1">
        <w:r>
          <w:rPr>
            <w:color w:val="161C4D"/>
            <w:u w:val="single"/>
          </w:rPr>
          <w:t>40.6–40.9 Communication, Timeline, Gate, History</w:t>
        </w:r>
      </w:hyperlink>
    </w:p>
    <w:p>
      <w:pPr>
        <w:spacing w:after="40"/>
        <w:ind w:left="648"/>
      </w:pPr>
      <w:hyperlink w:anchor="toc_58" w:history="1">
        <w:r>
          <w:rPr>
            <w:color w:val="161C4D"/>
            <w:u w:val="single"/>
          </w:rPr>
          <w:t>40.10 Closeout Checklist</w:t>
        </w:r>
      </w:hyperlink>
    </w:p>
    <w:p>
      <w:r>
        <w:br w:type="page"/>
      </w:r>
    </w:p>
    <w:p>
      <w:bookmarkStart w:id="1000" w:name="toc_1"/>
      <w:pPr>
        <w:pStyle w:val="Title"/>
      </w:pPr>
      <w:r>
        <w:t>PART IX — LOAN SIGNING</w:t>
      </w:r>
      <w:bookmarkEnd w:id="1000"/>
    </w:p>
    <w:p>
      <w:bookmarkStart w:id="1001" w:name="toc_2"/>
      <w:pPr>
        <w:pStyle w:val="Heading1"/>
        <w:pageBreakBefore/>
      </w:pPr>
      <w:r>
        <w:t>Chapter 29 — Loan Signing Foundations &amp; Workflow</w:t>
      </w:r>
      <w:bookmarkEnd w:id="100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1" name="Picture 1" descr="Loan Signing Workflow Map with connected steps and decision gates"/>
            <wp:cNvGraphicFramePr>
              <a:graphicFrameLocks noChangeAspect="1"/>
            </wp:cNvGraphicFramePr>
            <a:graphic>
              <a:graphicData uri="http://schemas.openxmlformats.org/drawingml/2006/picture">
                <pic:pic>
                  <pic:nvPicPr>
                    <pic:cNvPr id="0" name="fig-19-loan-signing-workflow.png"/>
                    <pic:cNvPicPr/>
                  </pic:nvPicPr>
                  <pic:blipFill>
                    <a:blip r:embed="rId11"/>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Loan Signing Workflow Map</w:t>
      </w:r>
    </w:p>
    <w:p>
      <w:bookmarkStart w:id="1002" w:name="toc_3"/>
      <w:pPr>
        <w:pStyle w:val="Heading2"/>
      </w:pPr>
      <w:r>
        <w:t>29.1 Loan Signing Versus Mobile Notary</w:t>
      </w:r>
      <w:bookmarkEnd w:id="1002"/>
    </w:p>
    <w:p>
      <w:pPr>
        <w:spacing w:after="120" w:line="293" w:lineRule="auto"/>
      </w:pPr>
      <w:r>
        <w:rPr>
          <w:rFonts w:ascii="Montserrat" w:hAnsi="Montserrat"/>
          <w:b w:val="0"/>
          <w:i w:val="0"/>
          <w:color w:val="2D2D2D"/>
          <w:sz w:val="21"/>
        </w:rPr>
        <w:t>A Mobile Notary request centers on one or more notarial acts at a location. A Loan Signing assignment centers on a controlled closing package, ordering-party instructions, presentation/signature requirements, possible notarizations, printing, scanbacks, approval, and physical return. The signing agent remains a notary only for actual notarial acts.</w:t>
      </w:r>
    </w:p>
    <w:p>
      <w:bookmarkStart w:id="1003" w:name="toc_4"/>
      <w:pPr>
        <w:pStyle w:val="Heading2"/>
      </w:pPr>
      <w:r>
        <w:t>29.2 Ordering Party Versus Signer</w:t>
      </w:r>
      <w:bookmarkEnd w:id="1003"/>
    </w:p>
    <w:p>
      <w:pPr>
        <w:spacing w:after="120" w:line="293" w:lineRule="auto"/>
      </w:pPr>
      <w:r>
        <w:rPr>
          <w:rFonts w:ascii="Montserrat" w:hAnsi="Montserrat"/>
          <w:b w:val="0"/>
          <w:i w:val="0"/>
          <w:color w:val="2D2D2D"/>
          <w:sz w:val="21"/>
        </w:rPr>
        <w:t>The ordering party controls assignment scope and operational instructions. The signer controls their own decisions and signatures. Neither relationship authorizes APS to give legal, lending, title, escrow, tax, or financial advice.</w:t>
      </w:r>
    </w:p>
    <w:p>
      <w:bookmarkStart w:id="1004" w:name="toc_5"/>
      <w:pPr>
        <w:pStyle w:val="Heading2"/>
      </w:pPr>
      <w:r>
        <w:t>29.3 Role and Signing-Agent Boundaries</w:t>
      </w:r>
      <w:bookmarkEnd w:id="1004"/>
    </w:p>
    <w:p>
      <w:pPr>
        <w:spacing w:after="120" w:line="293" w:lineRule="auto"/>
      </w:pPr>
      <w:r>
        <w:rPr>
          <w:rFonts w:ascii="Montserrat" w:hAnsi="Montserrat"/>
          <w:b w:val="0"/>
          <w:i w:val="0"/>
          <w:color w:val="2D2D2D"/>
          <w:sz w:val="21"/>
        </w:rPr>
        <w:t>Present documents neutrally, identify printed information, obtain signatures/initials/dates as instructed, perform authorized notarial acts, preserve package integrity, and report exceptions. Refer interpretation, discrepancies, term questions, and decisions to the designated contact.</w:t>
      </w:r>
    </w:p>
    <w:p>
      <w:bookmarkStart w:id="1005" w:name="toc_6"/>
      <w:pPr>
        <w:pStyle w:val="Heading2"/>
      </w:pPr>
      <w:r>
        <w:t>29.4 Signing Types</w:t>
      </w:r>
      <w:bookmarkEnd w:id="1005"/>
    </w:p>
    <w:p>
      <w:pPr>
        <w:spacing w:after="120" w:line="293" w:lineRule="auto"/>
      </w:pPr>
      <w:r>
        <w:rPr>
          <w:rFonts w:ascii="Montserrat" w:hAnsi="Montserrat"/>
          <w:b w:val="0"/>
          <w:i w:val="0"/>
          <w:color w:val="2D2D2D"/>
          <w:sz w:val="21"/>
        </w:rPr>
        <w:t>APS recognizes Buyer/Purchase, Seller, Refinance, HELOC, Loan Modification, Reverse Mortgage, Commercial/Complex, and Other/Custom. The actual order and package determine scope.</w:t>
      </w:r>
    </w:p>
    <w:p>
      <w:bookmarkStart w:id="1006" w:name="toc_7"/>
      <w:pPr>
        <w:pStyle w:val="Heading2"/>
      </w:pPr>
      <w:r>
        <w:t>29.5 Signing Methods</w:t>
      </w:r>
      <w:bookmarkEnd w:id="1006"/>
    </w:p>
    <w:p>
      <w:pPr>
        <w:spacing w:after="120" w:line="293" w:lineRule="auto"/>
      </w:pPr>
      <w:r>
        <w:rPr>
          <w:rFonts w:ascii="Montserrat" w:hAnsi="Montserrat"/>
          <w:b w:val="0"/>
          <w:i w:val="0"/>
          <w:color w:val="2D2D2D"/>
          <w:sz w:val="21"/>
        </w:rPr>
        <w:t>In-person/mobile is the default physical package workflow. RON is used only when the assignment, document, receiving party, platform, law, and APS readiness permit it. “Either/TBD” is a blocker until the authorized method is confirmed.</w:t>
      </w:r>
    </w:p>
    <w:p>
      <w:bookmarkStart w:id="1007" w:name="toc_8"/>
      <w:pPr>
        <w:pStyle w:val="Heading2"/>
      </w:pPr>
      <w:r>
        <w:t>29.6 Property and Signing Addresses</w:t>
      </w:r>
      <w:bookmarkEnd w:id="1007"/>
    </w:p>
    <w:p>
      <w:pPr>
        <w:spacing w:after="120" w:line="293" w:lineRule="auto"/>
      </w:pPr>
      <w:r>
        <w:rPr>
          <w:rFonts w:ascii="Montserrat" w:hAnsi="Montserrat"/>
          <w:b w:val="0"/>
          <w:i w:val="0"/>
          <w:color w:val="2D2D2D"/>
          <w:sz w:val="21"/>
        </w:rPr>
        <w:t>Keep property address and signing location separate. Verify the actual appointment location, route, access, safety, timezone, and property reference without assuming they are the same.</w:t>
      </w:r>
    </w:p>
    <w:p>
      <w:bookmarkStart w:id="1008" w:name="toc_9"/>
      <w:pPr>
        <w:pStyle w:val="Heading2"/>
      </w:pPr>
      <w:r>
        <w:t>29.7 Company, Order, and Escrow Identifiers</w:t>
      </w:r>
      <w:bookmarkEnd w:id="1008"/>
    </w:p>
    <w:p>
      <w:pPr>
        <w:spacing w:after="120" w:line="293" w:lineRule="auto"/>
      </w:pPr>
      <w:r>
        <w:rPr>
          <w:rFonts w:ascii="Montserrat" w:hAnsi="Montserrat"/>
          <w:b w:val="0"/>
          <w:i w:val="0"/>
          <w:color w:val="2D2D2D"/>
          <w:sz w:val="21"/>
        </w:rPr>
        <w:t>Record the ordering company, company file/order number, escrow/transaction number, and other authorized identifiers exactly. Do not place unnecessary account or taxpayer data in ordinary notes.</w:t>
      </w:r>
    </w:p>
    <w:p>
      <w:bookmarkStart w:id="1009" w:name="toc_10"/>
      <w:pPr>
        <w:pStyle w:val="Heading2"/>
      </w:pPr>
      <w:r>
        <w:t>29.8 Structured Signers</w:t>
      </w:r>
      <w:bookmarkEnd w:id="1009"/>
    </w:p>
    <w:p>
      <w:pPr>
        <w:spacing w:after="120" w:line="293" w:lineRule="auto"/>
      </w:pPr>
      <w:r>
        <w:rPr>
          <w:rFonts w:ascii="Montserrat" w:hAnsi="Montserrat"/>
          <w:b w:val="0"/>
          <w:i w:val="0"/>
          <w:color w:val="2D2D2D"/>
          <w:sz w:val="21"/>
        </w:rPr>
        <w:t>Maintain each signer’s full legal name, role/capacity, contact path, confirmation requirement, and relationship to documents. Do not collapse multiple signers into a note.</w:t>
      </w:r>
    </w:p>
    <w:p>
      <w:bookmarkStart w:id="1010" w:name="toc_11"/>
      <w:pPr>
        <w:pStyle w:val="Heading2"/>
      </w:pPr>
      <w:r>
        <w:t>29.9 Eight Broad APS Stages</w:t>
      </w:r>
      <w:bookmarkEnd w:id="1010"/>
    </w:p>
    <w:p>
      <w:pPr>
        <w:spacing w:after="120" w:line="293" w:lineRule="auto"/>
      </w:pPr>
      <w:r>
        <w:rPr>
          <w:rFonts w:ascii="Montserrat" w:hAnsi="Montserrat"/>
          <w:b w:val="0"/>
          <w:i w:val="0"/>
          <w:color w:val="2D2D2D"/>
          <w:sz w:val="21"/>
        </w:rPr>
        <w:t>Assignment review → package readiness → printing/QC → appointment readiness → signing → scanbacks/approval → return → completion. The ten-gate framework in Chapter 35 adds financial and exception resolution controls.</w:t>
      </w:r>
    </w:p>
    <w:p>
      <w:bookmarkStart w:id="1011" w:name="toc_12"/>
      <w:pPr>
        <w:pStyle w:val="Heading2"/>
      </w:pPr>
      <w:r>
        <w:t>29.10 Sensitive Information</w:t>
      </w:r>
      <w:bookmarkEnd w:id="1011"/>
    </w:p>
    <w:p>
      <w:pPr>
        <w:spacing w:after="120" w:line="293" w:lineRule="auto"/>
      </w:pPr>
      <w:r>
        <w:rPr>
          <w:rFonts w:ascii="Montserrat" w:hAnsi="Montserrat"/>
          <w:b w:val="0"/>
          <w:i w:val="0"/>
          <w:color w:val="2D2D2D"/>
          <w:sz w:val="21"/>
        </w:rPr>
        <w:t>Protect loan numbers, taxpayer data, bank details, IDs, nonpublic personal information, and package contents. Use approved storage/communication, not ordinary email or screenshots.</w:t>
      </w:r>
    </w:p>
    <w:p>
      <w:bookmarkStart w:id="1012" w:name="toc_13"/>
      <w:pPr>
        <w:pStyle w:val="Heading2"/>
      </w:pPr>
      <w:r>
        <w:t>29.11 Loan Signing Workflow Map</w:t>
      </w:r>
      <w:bookmarkEnd w:id="1012"/>
    </w:p>
    <w:p>
      <w:pPr>
        <w:spacing w:after="120" w:line="293" w:lineRule="auto"/>
      </w:pPr>
      <w:r>
        <w:rPr>
          <w:rFonts w:ascii="Montserrat" w:hAnsi="Montserrat"/>
          <w:b w:val="0"/>
          <w:i w:val="0"/>
          <w:color w:val="2D2D2D"/>
          <w:sz w:val="21"/>
        </w:rPr>
        <w:t>Order received → assignment/instructions reviewed → quote/authorization → package/version received → print/QC → appointment/signer confirmation → table signing/notarization → table check → scanback/approval when required → physical return/tracking when required → exception/financial resolution → closeout.</w:t>
      </w:r>
    </w:p>
    <w:p>
      <w:bookmarkStart w:id="1013" w:name="toc_14"/>
      <w:pPr>
        <w:pStyle w:val="Heading1"/>
        <w:pageBreakBefore/>
      </w:pPr>
      <w:r>
        <w:t>Chapter 30 — Loan Package Types</w:t>
      </w:r>
      <w:bookmarkEnd w:id="1013"/>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14" w:name="toc_15"/>
      <w:pPr>
        <w:pStyle w:val="Heading2"/>
      </w:pPr>
      <w:r>
        <w:t>30.1 Buyer / Purchase</w:t>
      </w:r>
      <w:bookmarkEnd w:id="1014"/>
    </w:p>
    <w:p>
      <w:pPr>
        <w:spacing w:after="120" w:line="293" w:lineRule="auto"/>
      </w:pPr>
      <w:r>
        <w:rPr>
          <w:rFonts w:ascii="Montserrat" w:hAnsi="Montserrat"/>
          <w:b w:val="0"/>
          <w:i w:val="0"/>
          <w:color w:val="2D2D2D"/>
          <w:sz w:val="21"/>
        </w:rPr>
        <w:t>Purpose: transfer/acquire property while funding a new loan and completing settlement. Expect borrower loan documents, title/settlement documents, possible deed-side documents, disclosures, affidavits, and property/product riders.</w:t>
      </w:r>
    </w:p>
    <w:tbl>
      <w:tblPr>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What it is / 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referral</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Closing Disclosure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final disclosed loan/cost summary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 and signs/acknowledges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signatures only; refer figures</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promise to repay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names, dates, package version</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Security Instrument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secures debt with property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owners/borrowers sign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commonly; inspect certificate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capacities, riders, certificate</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Title/Settlement forms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closing/disbursement/title requirements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 assigned forms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preserve order; refer title questions</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Occupancy/Name affidavits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transaction representations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 and 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often 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coaching; actual certificate controls</w:t>
            </w:r>
          </w:p>
        </w:tc>
      </w:tr>
    </w:tbl>
    <w:p/>
    <w:p>
      <w:bookmarkStart w:id="1015" w:name="toc_16"/>
      <w:pPr>
        <w:pStyle w:val="Heading2"/>
      </w:pPr>
      <w:r>
        <w:t>30.2 Seller</w:t>
      </w:r>
      <w:bookmarkEnd w:id="1015"/>
    </w:p>
    <w:p>
      <w:pPr>
        <w:spacing w:after="120" w:line="293" w:lineRule="auto"/>
      </w:pPr>
      <w:r>
        <w:rPr>
          <w:rFonts w:ascii="Montserrat" w:hAnsi="Montserrat"/>
          <w:b w:val="0"/>
          <w:i w:val="0"/>
          <w:color w:val="2D2D2D"/>
          <w:sz w:val="21"/>
        </w:rPr>
        <w:t>Seller packages center on conveyance, title/settlement, payoff, proceeds, identity, and seller representations. They may be shorter than borrower packages but can contain high-consequence deeds and affidavits.</w:t>
      </w:r>
    </w:p>
    <w:tbl>
      <w:tblPr>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Deed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conveyance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grantor 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commonly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exact capacity/certificate; no deed advice</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Seller affidavits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title/transaction facts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reads, supplies facts, 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frequently 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 factual coaching</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Settlement statement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proceeds/cost accounting</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financial discrepancies</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Payoff authorization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permits payoff information/action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protect account information</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Closing instructions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controls execution/return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follows assigned acknowledgments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orderer controls</w:t>
            </w:r>
          </w:p>
        </w:tc>
      </w:tr>
    </w:tbl>
    <w:p/>
    <w:p>
      <w:bookmarkStart w:id="1016" w:name="toc_17"/>
      <w:pPr>
        <w:pStyle w:val="Heading2"/>
      </w:pPr>
      <w:r>
        <w:t>30.3 Refinance</w:t>
      </w:r>
      <w:bookmarkEnd w:id="1016"/>
    </w:p>
    <w:p>
      <w:pPr>
        <w:spacing w:after="120" w:line="293" w:lineRule="auto"/>
      </w:pPr>
      <w:r>
        <w:rPr>
          <w:rFonts w:ascii="Montserrat" w:hAnsi="Montserrat"/>
          <w:b w:val="0"/>
          <w:i w:val="0"/>
          <w:color w:val="2D2D2D"/>
          <w:sz w:val="21"/>
        </w:rPr>
        <w:t>Refinance replaces or changes financing on existing property. Packages commonly include Closing Disclosure, note, security instrument, rescission notice when applicable, escrow/payment information, affidavits, riders, and title documents.</w:t>
      </w:r>
    </w:p>
    <w:tbl>
      <w:tblPr>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Closing Disclosure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final terms/costs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interpret figures</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repayment obligation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version/signature</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Security Instrument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collateral</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commonly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actual certificate</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Right to Cancel</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covered rescission notice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dates/acknowledges receipt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calculate disputed deadline</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Affidavits/Compliance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representations/corrections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legal questions</w:t>
            </w:r>
          </w:p>
        </w:tc>
      </w:tr>
    </w:tbl>
    <w:p/>
    <w:p>
      <w:bookmarkStart w:id="1017" w:name="toc_18"/>
      <w:pPr>
        <w:pStyle w:val="Heading2"/>
      </w:pPr>
      <w:r>
        <w:t>30.4 HELOC</w:t>
      </w:r>
      <w:bookmarkEnd w:id="1017"/>
    </w:p>
    <w:p>
      <w:pPr>
        <w:spacing w:after="120" w:line="293" w:lineRule="auto"/>
      </w:pPr>
      <w:r>
        <w:rPr>
          <w:rFonts w:ascii="Montserrat" w:hAnsi="Montserrat"/>
          <w:b w:val="0"/>
          <w:i w:val="0"/>
          <w:color w:val="2D2D2D"/>
          <w:sz w:val="21"/>
        </w:rPr>
        <w:t>HELOC packages concern a revolving line secured by property. Actual Texas home-equity and lender instructions are critical; never generalize product or legal requirements.</w:t>
      </w:r>
    </w:p>
    <w:tbl>
      <w:tblPr>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HELOC Agreement/Note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line terms/repayment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signs/initials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rate/draw advice</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HELOC Security Instrument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secures line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owners sign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certificate/capacity</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Disclosures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product/cost information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lender questions</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Right to Cancel when applicable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rescission notice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acknowledges/dates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printed instructions control</w:t>
            </w:r>
          </w:p>
        </w:tc>
      </w:tr>
    </w:tbl>
    <w:p/>
    <w:p>
      <w:bookmarkStart w:id="1018" w:name="toc_19"/>
      <w:pPr>
        <w:pStyle w:val="Heading2"/>
      </w:pPr>
      <w:r>
        <w:t>30.5 Loan Modification</w:t>
      </w:r>
      <w:bookmarkEnd w:id="1018"/>
    </w:p>
    <w:p>
      <w:pPr>
        <w:spacing w:after="120" w:line="293" w:lineRule="auto"/>
      </w:pPr>
      <w:r>
        <w:rPr>
          <w:rFonts w:ascii="Montserrat" w:hAnsi="Montserrat"/>
          <w:b w:val="0"/>
          <w:i w:val="0"/>
          <w:color w:val="2D2D2D"/>
          <w:sz w:val="21"/>
        </w:rPr>
        <w:t>Modification packages document lender/servicer-approved changes to an existing obligation. Do not imply that signing guarantees a particular servicing outcome.</w:t>
      </w:r>
    </w:p>
    <w:tbl>
      <w:tblPr>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Modification Agreement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states approved changes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may be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loan/borrower/version</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Affidavits/Certifications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supports eligibility/facts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reads/signs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 coaching</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 Instructions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operational next step</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reviews/retains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accept payment unless authorized</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Security-related instrument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records/continues collateral change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often 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certificate controls</w:t>
            </w:r>
          </w:p>
        </w:tc>
      </w:tr>
    </w:tbl>
    <w:p/>
    <w:p>
      <w:bookmarkStart w:id="1019" w:name="toc_20"/>
      <w:pPr>
        <w:pStyle w:val="Heading2"/>
      </w:pPr>
      <w:r>
        <w:t>30.6 Reverse Mortgage</w:t>
      </w:r>
      <w:bookmarkEnd w:id="1019"/>
    </w:p>
    <w:p>
      <w:pPr>
        <w:spacing w:after="120" w:line="293" w:lineRule="auto"/>
      </w:pPr>
      <w:r>
        <w:rPr>
          <w:rFonts w:ascii="Montserrat" w:hAnsi="Montserrat"/>
          <w:b w:val="0"/>
          <w:i w:val="0"/>
          <w:color w:val="2D2D2D"/>
          <w:sz w:val="21"/>
        </w:rPr>
        <w:t>Reverse Mortgage packages may contain multiple notes/security instruments, a loan agreement, payment-plan disclosures, certifications, riders, and non-borrowing-spouse documents. Provide time and neutral organization; refer counseling/product questions.</w:t>
      </w:r>
    </w:p>
    <w:tbl>
      <w:tblPr>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evidence debt structure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borrowers sign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paired documents/version</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Mortgage(s)/Security Instruments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secure obligations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parties sign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paired certificates/riders</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Agreement/Disclosures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program terms/responsibilities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product advice</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NBS documents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defined spouse capacity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named spouse 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never determine eligibility/rights</w:t>
            </w:r>
          </w:p>
        </w:tc>
      </w:tr>
    </w:tbl>
    <w:p/>
    <w:p>
      <w:bookmarkStart w:id="1020" w:name="toc_21"/>
      <w:pPr>
        <w:pStyle w:val="Heading2"/>
      </w:pPr>
      <w:r>
        <w:t>30.7 Commercial / Custom</w:t>
      </w:r>
      <w:bookmarkEnd w:id="1020"/>
    </w:p>
    <w:p>
      <w:pPr>
        <w:spacing w:after="120" w:line="293" w:lineRule="auto"/>
      </w:pPr>
      <w:r>
        <w:rPr>
          <w:rFonts w:ascii="Montserrat" w:hAnsi="Montserrat"/>
          <w:b w:val="0"/>
          <w:i w:val="0"/>
          <w:color w:val="2D2D2D"/>
          <w:sz w:val="21"/>
        </w:rPr>
        <w:t>Commercial/custom packages vary by entity, authority, counsel, property, and negotiated terms. Require explicit instructions and capacity evidence; source-note unfamiliar instruments.</w:t>
      </w:r>
    </w:p>
    <w:tbl>
      <w:tblPr>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Note/Security documents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debt/collateral</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authorized representative 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entity/capacity and certificate</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Resolutions/Authority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proves signing authority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signs/certifies if directed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decide sufficiency</w:t>
            </w:r>
          </w:p>
        </w:tc>
      </w:tr>
      <w:t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Guarantees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obligation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guarantor 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legal explanation</w:t>
            </w:r>
          </w:p>
        </w:tc>
      </w:tr>
      <w:t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 closing documents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negotiated requirements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 as assigned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ordering party/counsel controls</w:t>
            </w:r>
          </w:p>
        </w:tc>
      </w:tr>
    </w:tbl>
    <w:p/>
    <w:p>
      <w:bookmarkStart w:id="1021" w:name="toc_22"/>
      <w:pPr>
        <w:pStyle w:val="Heading1"/>
        <w:pageBreakBefore/>
      </w:pPr>
      <w:r>
        <w:t>Chapter 31 — Common Loan Document Reference</w:t>
      </w:r>
      <w:bookmarkEnd w:id="102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pStyle w:val="Heading2"/>
      </w:pPr>
      <w:r>
        <w:t>31.1 Critical Notarization Rule</w:t>
      </w:r>
    </w:p>
    <w:p>
      <w:pPr>
        <w:spacing w:after="120" w:line="293" w:lineRule="auto"/>
      </w:pPr>
      <w:r>
        <w:rPr>
          <w:rFonts w:ascii="Montserrat" w:hAnsi="Montserrat"/>
          <w:b w:val="0"/>
          <w:i w:val="0"/>
          <w:color w:val="2D2D2D"/>
          <w:sz w:val="21"/>
        </w:rPr>
        <w:t>COMMONLY NOTARIZED DOES NOT MEAN ALWAYS NOTARIZE. Actual authority comes from the actual document, its actual certificate, applicable law, and authorized assignment instructions. Never add a certificate merely because a similar document is often notarized.</w:t>
      </w:r>
    </w:p>
    <w:p>
      <w:pPr>
        <w:pStyle w:val="Heading2"/>
        <w:pageBreakBefore/>
      </w:pPr>
      <w:r>
        <w:t>31.2 Closing Disclosure</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Buyer/Purchase; Refinance; some HELOC</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CFPB-mandated disclosure summarizing final loan terms, projected payments, and closing costs.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Allows the borrower to review the transaction’s final disclosed financial terms.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and signs or acknowledges receipt where the package directs.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Locate signatures/dates and follow presentation instructions without interpreting figures.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verify the actual form.</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title and direct the signer to the disclosed sections without characterizing the deal.</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whether APR, cash to close, fees, or terms are correct or favorable.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financial, lender, settlement, and discrepancy questions to the named lender/title contact.</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Consumer Financial Protection Bureau — Closing Disclosure and closing-document guidance.</w:t>
            </w:r>
          </w:p>
        </w:tc>
      </w:tr>
    </w:tbl>
    <w:p/>
    <w:p>
      <w:pPr>
        <w:pStyle w:val="Heading2"/>
        <w:pageBreakBefore/>
      </w:pPr>
      <w:r>
        <w:t>31.3 Promissory Note</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Buyer/Purchase; Refinance; HELOC or product-specific note; Reverse Mortgage note(s)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The borrower’s written promise to repay under stated terms.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Evidence of the debt and repayment obligation.</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 signs exactly as directed; initials may appear where specified.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Names, signature capacity, required dates, and package-version integrity.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verify actual document/certificate.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 that it is the note and point to the lender-provided payment/term sections if instructed.</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interest, default, prepayment, or enforceability.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term/payment/legal questions to lender or ordering party.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CFPB closing guidance; Fannie Mae/Freddie Mac Uniform Notes; HUD HECM model notes.</w:t>
            </w:r>
          </w:p>
        </w:tc>
      </w:tr>
    </w:tbl>
    <w:p/>
    <w:p>
      <w:pPr>
        <w:pStyle w:val="Heading2"/>
        <w:pageBreakBefore/>
      </w:pPr>
      <w:r>
        <w:t>31.4 Deed of Trust / Mortgage / Security Instrument</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Buyer/Purchase; Refinance; HELOC; Reverse Mortgage security instruments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Instrument securing the debt with an interest in the described property.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Creates the collateral/security relationship and is generally recorded.</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property owners/borrowers sign in stated capacities.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version, property/address context, names/capacities, riders, signatures, certificate.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but not automatically; inspect the actual certificate and instructions.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document and signature/certificate locations only.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foreclosure, lien priority, homestead effect, or legal consequences.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legal/property/title questions to lender/title/attorney.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CFPB closing guidance; Fannie Mae/Freddie Mac Uniform Security Instruments; HUD model mortgages.</w:t>
            </w:r>
          </w:p>
        </w:tc>
      </w:tr>
    </w:tbl>
    <w:p/>
    <w:p>
      <w:pPr>
        <w:pStyle w:val="Heading2"/>
        <w:pageBreakBefore/>
      </w:pPr>
      <w:r>
        <w:t>31.5 Notice of Right to Cancel</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Certain refinance/home-secured credit transactions; not ordinary purchase closings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Notice of a statutory rescission period when applicable.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Provides required cancellation timing and method for covered transactions.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acknowledges receipt and dates/copies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transaction/date/copy count and ordering-party instructions.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Point to the printed deadline/method without calculating or advising.</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tell a signer whether a transaction is rescindable or calculate a disputed deadline.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coverage/deadline questions to lender/title or legal counsel.</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Consumer Financial Protection Bureau — right of rescission guidance.</w:t>
            </w:r>
          </w:p>
        </w:tc>
      </w:tr>
    </w:tbl>
    <w:p/>
    <w:p>
      <w:pPr>
        <w:pStyle w:val="Heading2"/>
        <w:pageBreakBefore/>
      </w:pPr>
      <w:r>
        <w:t>31.6 Initial Escrow Account Disclosure</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when escrow applies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Estimate of escrow deposits and projected disbursements.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Explains how taxes/insurance may be collected and paid from escrow.</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and signs/acknowledges if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Signature/acknowledgment placement and package completeness.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escrow disclosure and let the signer review figures.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predict shortages, tax changes, or future payments.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calculation questions to lender/servicer.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CFPB mortgage-closing guidance and actual lender disclosure.</w:t>
            </w:r>
          </w:p>
        </w:tc>
      </w:tr>
    </w:tbl>
    <w:p/>
    <w:p>
      <w:pPr>
        <w:pStyle w:val="Heading2"/>
        <w:pageBreakBefore/>
      </w:pPr>
      <w:r>
        <w:t>31.7 First Payment Letter / Payment Coupon</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some modifications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Operational payment instructions showing initial due date, amount, and destination.</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Helps the borrower make the first scheduled payment.</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and retains the appropriate copy.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separate borrower-retained pages from the package incorrectly.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 absent an unusual actual certificate.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Point to the printed instructions.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change payment instructions or accept payment unless expressly authorized.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servicing/payment questions to lender/servicer.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lender/servicer document and assignment instructions.</w:t>
            </w:r>
          </w:p>
        </w:tc>
      </w:tr>
    </w:tbl>
    <w:p/>
    <w:p>
      <w:pPr>
        <w:pStyle w:val="Heading2"/>
        <w:pageBreakBefore/>
      </w:pPr>
      <w:r>
        <w:t>31.8 Occupancy Affidavit</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some investment/second-home loans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Statement concerning intended or actual occupancy.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underwriting and loan-program representations.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reads, completes only permitted factual blanks, and signs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Names, property, permitted completion, signature, and actual certificate.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Often contains a certificate; verify actual document.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Invite the signer to read the statement and answer only for themselves.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advise which occupancy status to select.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classification/legal questions to lender/title.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package; Fannie Mae special-purpose forms where applicable.</w:t>
            </w:r>
          </w:p>
        </w:tc>
      </w:tr>
    </w:tbl>
    <w:p/>
    <w:p>
      <w:pPr>
        <w:pStyle w:val="Heading2"/>
        <w:pageBreakBefore/>
      </w:pPr>
      <w:r>
        <w:t>31.9 Signature / Name Affidavit</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Seller; HELOC; other packages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Statement connecting name variations or signatures to the signer.</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identity/name consistency across transaction records.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listed variations, reports inaccuracies, and signs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Never force acceptance of an incorrect name; inspect actual certificate.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but verify actual certificate.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Ask the signer to review each variation and refer corrections.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invent aliases or tell the signer to claim a name they dispute.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Pause and contact ordering party for inaccurate/missing variations.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title/lender package and authorized instructions.</w:t>
            </w:r>
          </w:p>
        </w:tc>
      </w:tr>
    </w:tbl>
    <w:p/>
    <w:p>
      <w:pPr>
        <w:pStyle w:val="Heading2"/>
        <w:pageBreakBefore/>
      </w:pPr>
      <w:r>
        <w:t>31.10 Compliance Agreement / Errors &amp; Omissions Agreement</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HELOC; some seller packages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Agreement to cooperate with permitted post-closing corrections or omitted administrative items.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correction of defined clerical/compliance issues.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reads and signs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title, signature and actual certificate; distinguish from E&amp;O insurance.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May be; verify the actual certificate.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document without describing the scope beyond its text.</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promise what corrections may be demanded or interpret legal limits.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scope/legal-effect questions to lender/title.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lender/title document; package instructions.</w:t>
            </w:r>
          </w:p>
        </w:tc>
      </w:tr>
    </w:tbl>
    <w:p/>
    <w:p>
      <w:pPr>
        <w:pStyle w:val="Heading2"/>
        <w:pageBreakBefore/>
      </w:pPr>
      <w:r>
        <w:t>31.11 IRS / Tax Forms (for example W-9, 4506-C where present)</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 by lender/product</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Taxpayer identification or transcript authorization forms included for the transaction.</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lender verification/reporting requirements.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verifies taxpayer information and signs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form/version, signature/date, no copying sensitive data into APS notes.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form and signature area only.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provide tax advice or complete taxpayer elections.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tax/content questions to lender or tax professional.</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IRS/lender form and package instructions.</w:t>
            </w:r>
          </w:p>
        </w:tc>
      </w:tr>
    </w:tbl>
    <w:p/>
    <w:p>
      <w:pPr>
        <w:pStyle w:val="Heading2"/>
        <w:pageBreakBefore/>
      </w:pPr>
      <w:r>
        <w:t>31.12 Insurance Documents</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Reverse Mortgage; some HELOC</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Evidence, authorization, or acknowledgment concerning required property insurance.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collateral protection and closing conditions.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and signs/acknowledges where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policy/data pages in order and protect personal information.</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unless actual certificate says otherwise.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as insurance-related package material.</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advise coverage sufficiency or policy selection.</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insurer/lender/title.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insurer/lender/title documents.</w:t>
            </w:r>
          </w:p>
        </w:tc>
      </w:tr>
    </w:tbl>
    <w:p/>
    <w:p>
      <w:pPr>
        <w:pStyle w:val="Heading2"/>
        <w:pageBreakBefore/>
      </w:pPr>
      <w:r>
        <w:t>31.13 Title and Settlement Documents</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Seller; Refinance; HELOC; Commercial/Custom</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Title, settlement, closing, disbursement, and ownership-related documents prepared for the transaction.</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Coordinate conveyance, settlement, payoff, fees, and title requirements.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Parties review and sign the forms assigned to them.</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Ordering-party instructions, capacity, signature lines, notarization certificate, copy/return requirements.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 inspect each actual document.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 by exact title and keep the package order.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title condition, ownership, prorations, or legal effect.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title/escrow/attorney.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title/settlement package; CFPB closing guidance where applicable.</w:t>
            </w:r>
          </w:p>
        </w:tc>
      </w:tr>
    </w:tbl>
    <w:p/>
    <w:p>
      <w:pPr>
        <w:pStyle w:val="Heading2"/>
        <w:pageBreakBefore/>
      </w:pPr>
      <w:r>
        <w:t>31.14 Deed</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Seller; Purchase; some estate/entity/custom closings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Instrument conveying an interest in real property.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Transfers the described property interest when validly executed/delivered/recorded.</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grantor(s) sign in stated capacity.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Exact names/capacities, property reference, signature, witnesses if required, actual certificate.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but actual deed/certificate/law controls.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deed and signature/certificate areas.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choose deed type, advise ownership effect, or alter legal description.</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title/attorney/orderer.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deed and jurisdiction/ordering-party authority.</w:t>
            </w:r>
          </w:p>
        </w:tc>
      </w:tr>
    </w:tbl>
    <w:p/>
    <w:p>
      <w:pPr>
        <w:pStyle w:val="Heading2"/>
        <w:pageBreakBefore/>
      </w:pPr>
      <w:r>
        <w:t>31.15 Seller Affidavits</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Seller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Seller statements about ownership, liens, occupancy, repairs, identity, or transaction facts.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title/settlement review and risk allocation.</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Seller reads, supplies only their facts, and signs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 coaching; verify actual certificate and completeness.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Frequently but variably; inspect actual form.</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Ask the seller to review the statement and refer uncertainty.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answer factual/legal questions for the seller.</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title/attorney/orderer.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title/settlement package.</w:t>
            </w:r>
          </w:p>
        </w:tc>
      </w:tr>
    </w:tbl>
    <w:p/>
    <w:p>
      <w:pPr>
        <w:pStyle w:val="Heading2"/>
        <w:pageBreakBefore/>
      </w:pPr>
      <w:r>
        <w:t>31.16 Payoff Authorization</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Seller; Refinance; some modifications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Authorization to obtain, confirm, or transmit payoff information.</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satisfaction of existing obligations at closing.</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party reviews account/property information and signs.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account/party, privacy, signature, and transmission path.</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 verify actual document.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authorization and protect account information.</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calculate payoff or promise disbursement timing.</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title/lender/servicer.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title/lender/servicer form.</w:t>
            </w:r>
          </w:p>
        </w:tc>
      </w:tr>
    </w:tbl>
    <w:p/>
    <w:p>
      <w:pPr>
        <w:pStyle w:val="Heading2"/>
        <w:pageBreakBefore/>
      </w:pPr>
      <w:r>
        <w:t>31.17 HELOC Agreement / Note</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HELOC</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Product-specific agreement or note governing a revolving home-equity line.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States borrowing, repayment, advance, rate, and account terms.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 signs/initials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product/version, signatures, and package instructions.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verify actual document.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it as the HELOC agreement/note.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draws, rates, tax effects, or suitability.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lender document; Fannie Mae special-purpose guidance where applicable.</w:t>
            </w:r>
          </w:p>
        </w:tc>
      </w:tr>
    </w:tbl>
    <w:p/>
    <w:p>
      <w:pPr>
        <w:pStyle w:val="Heading2"/>
        <w:pageBreakBefore/>
      </w:pPr>
      <w:r>
        <w:t>31.18 HELOC Security Instrument</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HELOC</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Instrument securing the HELOC with the property.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Creates the product’s collateral relationship and may be recorded.</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owners/borrowers sign in stated capacities.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Names, property, riders, signatures, and actual certificate.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actual certificate controls.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title/signature/certificate locations.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lien priority or Texas home-equity law.</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lender/title/attorney.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lender/title instrument and applicable authoritative instructions.</w:t>
            </w:r>
          </w:p>
        </w:tc>
      </w:tr>
    </w:tbl>
    <w:p/>
    <w:p>
      <w:pPr>
        <w:pStyle w:val="Heading2"/>
        <w:pageBreakBefore/>
      </w:pPr>
      <w:r>
        <w:t>31.19 Loan Modification Agreement</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Modification</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Agreement changing specified terms of an existing loan.</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the servicer/lender-approved modification.</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 reviews and signs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borrower/loan/version, signature/date, and actual certificate.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May be; verify actual document.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agreement and let the signer read the stated changes.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eligibility, affordability, or legal consequences.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servicer/lender/housing counselor or attorney.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servicer/lender agreement; HUD model modification documents where applicable.</w:t>
            </w:r>
          </w:p>
        </w:tc>
      </w:tr>
    </w:tbl>
    <w:p/>
    <w:p>
      <w:pPr>
        <w:pStyle w:val="Heading2"/>
        <w:pageBreakBefore/>
      </w:pPr>
      <w:r>
        <w:t>31.20 Reverse Mortgage Note(s)</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Reverse Mortgage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HECM or proprietary reverse-mortgage debt instrument(s); HUD HECM packages may contain multiple notes.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Evidence obligations under the reverse-mortgage structure.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Borrower(s) sign as directed; package may distinguish first/second instruments.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omit paired documents; verify names, capacities, versions, signatures.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verify actual document.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each note by its exact title and sequence.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loan economics, benefits, or estate consequences.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lender/counselor/title/attorney.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HUD HECM model documents; actual proprietary package.</w:t>
            </w:r>
          </w:p>
        </w:tc>
      </w:tr>
    </w:tbl>
    <w:p/>
    <w:p>
      <w:pPr>
        <w:pStyle w:val="Heading2"/>
        <w:pageBreakBefore/>
      </w:pPr>
      <w:r>
        <w:t>31.21 Reverse Mortgage Security Instrument(s)</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Reverse Mortgage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HECM/proprietary mortgage or deed-of-trust instruments; HUD HECM may include first and second instruments.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Secures obligations under the reverse-mortgage structure.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borrowers/owners sign in stated capacities.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Paired instruments, riders, property, signatures, certificates, package order.</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actual certificate controls.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 each instrument by exact title.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lien structure, foreclosure, occupancy, or succession rights.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lender/title/counselor/attorney.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HUD HECM model mortgages; actual package.</w:t>
            </w:r>
          </w:p>
        </w:tc>
      </w:tr>
    </w:tbl>
    <w:p/>
    <w:p>
      <w:pPr>
        <w:pStyle w:val="Heading2"/>
        <w:pageBreakBefore/>
      </w:pPr>
      <w:r>
        <w:t>31.22 Reverse Mortgage Disclosures / Loan Agreement</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Reverse Mortgage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Program/product disclosures and agreement describing advances, charges, payment plan, and borrower responsibilities.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program terms and required acknowledgments.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 reviews and signs/acknowledges as directed.</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versions, all required signatures, retain copies, no interpretation.</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 inspect actual document.</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exact document names and allow appropriate review time.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recommend payment options or explain financial suitability.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lender/HECM counselor/attorney.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HUD HECM model documents and actual lender package.</w:t>
            </w:r>
          </w:p>
        </w:tc>
      </w:tr>
    </w:tbl>
    <w:p/>
    <w:p>
      <w:pPr>
        <w:pStyle w:val="Heading2"/>
        <w:pageBreakBefore/>
      </w:pPr>
      <w:r>
        <w:t>31.23 Non-Borrowing Spouse Documents</w:t>
      </w:r>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Reverse Mortgage; jurisdiction/product dependent</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Certifications, acknowledgments, or property-right documents for an eligible or other non-borrowing spouse.</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Addresses program and property-right requirements defined by the actual transaction.</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Named spouse reviews and signs only documents assigned to that capacity.</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Identity/capacity, correct document set, signatures, actual certificates.</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 inspect every actual form.</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package’s exact capacity language.</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determine eligibility, property rights, or future occupancy protections.</w:t>
            </w:r>
          </w:p>
        </w:tc>
      </w:tr>
      <w:t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lender/title/HECM counselor/attorney.</w:t>
            </w:r>
          </w:p>
        </w:tc>
      </w:tr>
      <w:t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HUD Borrower and Non-Borrowing Spouse Certifications; actual package.</w:t>
            </w:r>
          </w:p>
        </w:tc>
      </w:tr>
    </w:tbl>
    <w:p/>
    <w:p>
      <w:bookmarkStart w:id="1022" w:name="toc_23"/>
      <w:pPr>
        <w:pStyle w:val="Heading1"/>
        <w:pageBreakBefore/>
      </w:pPr>
      <w:r>
        <w:t>Chapter 32 — Loan Signing Intake &amp; Assignment Review</w:t>
      </w:r>
      <w:bookmarkEnd w:id="1022"/>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23" w:name="toc_24"/>
      <w:pPr>
        <w:pStyle w:val="Heading2"/>
      </w:pPr>
      <w:r>
        <w:t>32.1–32.4 Order, Parties, Identifiers, and Addresses</w:t>
      </w:r>
      <w:bookmarkEnd w:id="1023"/>
    </w:p>
    <w:p>
      <w:pPr>
        <w:spacing w:after="120" w:line="293" w:lineRule="auto"/>
      </w:pPr>
      <w:r>
        <w:rPr>
          <w:rFonts w:ascii="Montserrat" w:hAnsi="Montserrat"/>
          <w:b w:val="0"/>
          <w:i w:val="0"/>
          <w:color w:val="2D2D2D"/>
          <w:sz w:val="21"/>
        </w:rPr>
        <w:t>Verify orderer/customer, all structured signers/capacities, company/order/escrow identifiers, property address, signing address, date/time/timezone, access, and contact path.</w:t>
      </w:r>
    </w:p>
    <w:p>
      <w:bookmarkStart w:id="1024" w:name="toc_25"/>
      <w:pPr>
        <w:pStyle w:val="Heading2"/>
      </w:pPr>
      <w:r>
        <w:t>32.5–32.8 Scope and Instructions</w:t>
      </w:r>
      <w:bookmarkEnd w:id="1024"/>
    </w:p>
    <w:p>
      <w:pPr>
        <w:spacing w:after="120" w:line="293" w:lineRule="auto"/>
      </w:pPr>
      <w:r>
        <w:rPr>
          <w:rFonts w:ascii="Montserrat" w:hAnsi="Montserrat"/>
          <w:b w:val="0"/>
          <w:i w:val="0"/>
          <w:color w:val="2D2D2D"/>
          <w:sz w:val="21"/>
        </w:rPr>
        <w:t>Confirm signing type/method, package status, print requirements/copies, signer confirmation, scanbacks, approval-before-return, physical return, shipping label, stipulations, and source of every instruction.</w:t>
      </w:r>
    </w:p>
    <w:p>
      <w:bookmarkStart w:id="1025" w:name="toc_26"/>
      <w:pPr>
        <w:pStyle w:val="Heading2"/>
      </w:pPr>
      <w:r>
        <w:t>32.9 Assignment Review Procedure</w:t>
      </w:r>
      <w:bookmarkEnd w:id="1025"/>
    </w:p>
    <w:p>
      <w:pPr>
        <w:spacing w:after="120" w:line="293" w:lineRule="auto"/>
        <w:ind w:left="317" w:hanging="317"/>
      </w:pPr>
      <w:r>
        <w:rPr>
          <w:rFonts w:ascii="Montserrat" w:hAnsi="Montserrat"/>
          <w:b w:val="0"/>
          <w:i w:val="0"/>
          <w:color w:val="2D2D2D"/>
          <w:sz w:val="21"/>
        </w:rPr>
        <w:t>1. Open the exact request and Loan Signing assignment.</w:t>
      </w:r>
    </w:p>
    <w:p>
      <w:pPr>
        <w:spacing w:after="120" w:line="293" w:lineRule="auto"/>
        <w:ind w:left="317" w:hanging="317"/>
      </w:pPr>
      <w:r>
        <w:rPr>
          <w:rFonts w:ascii="Montserrat" w:hAnsi="Montserrat"/>
          <w:b w:val="0"/>
          <w:i w:val="0"/>
          <w:color w:val="2D2D2D"/>
          <w:sz w:val="21"/>
        </w:rPr>
        <w:t>2. Compare order, signers, identifiers, addresses, and appointment.</w:t>
      </w:r>
    </w:p>
    <w:p>
      <w:pPr>
        <w:spacing w:after="120" w:line="293" w:lineRule="auto"/>
        <w:ind w:left="317" w:hanging="317"/>
      </w:pPr>
      <w:r>
        <w:rPr>
          <w:rFonts w:ascii="Montserrat" w:hAnsi="Montserrat"/>
          <w:b w:val="0"/>
          <w:i w:val="0"/>
          <w:color w:val="2D2D2D"/>
          <w:sz w:val="21"/>
        </w:rPr>
        <w:t>3. Read all authoritative instructions; enter each requirement with source and applicability.</w:t>
      </w:r>
    </w:p>
    <w:p>
      <w:pPr>
        <w:spacing w:after="120" w:line="293" w:lineRule="auto"/>
        <w:ind w:left="317" w:hanging="317"/>
      </w:pPr>
      <w:r>
        <w:rPr>
          <w:rFonts w:ascii="Montserrat" w:hAnsi="Montserrat"/>
          <w:b w:val="0"/>
          <w:i w:val="0"/>
          <w:color w:val="2D2D2D"/>
          <w:sz w:val="21"/>
        </w:rPr>
        <w:t>4. Identify missing/conflicting facts and stop advancement.</w:t>
      </w:r>
    </w:p>
    <w:p>
      <w:pPr>
        <w:spacing w:after="120" w:line="293" w:lineRule="auto"/>
        <w:ind w:left="317" w:hanging="317"/>
      </w:pPr>
      <w:r>
        <w:rPr>
          <w:rFonts w:ascii="Montserrat" w:hAnsi="Montserrat"/>
          <w:b w:val="0"/>
          <w:i w:val="0"/>
          <w:color w:val="2D2D2D"/>
          <w:sz w:val="21"/>
        </w:rPr>
        <w:t>5. Record review completion only after scope is coherent.</w:t>
      </w:r>
    </w:p>
    <w:p>
      <w:bookmarkStart w:id="1026" w:name="toc_27"/>
      <w:pPr>
        <w:pStyle w:val="Heading1"/>
        <w:pageBreakBefore/>
      </w:pPr>
      <w:r>
        <w:t>Chapter 33 — Preparing the Loan Signing Quote</w:t>
      </w:r>
      <w:bookmarkEnd w:id="1026"/>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27" w:name="toc_28"/>
      <w:pPr>
        <w:pStyle w:val="Heading2"/>
      </w:pPr>
      <w:r>
        <w:t>33.1–33.5 Quote Inputs</w:t>
      </w:r>
      <w:bookmarkEnd w:id="1027"/>
    </w:p>
    <w:p>
      <w:pPr>
        <w:spacing w:after="120" w:line="293" w:lineRule="auto"/>
      </w:pPr>
      <w:r>
        <w:rPr>
          <w:rFonts w:ascii="Montserrat" w:hAnsi="Montserrat"/>
          <w:b w:val="0"/>
          <w:i w:val="0"/>
          <w:color w:val="2D2D2D"/>
          <w:sz w:val="21"/>
        </w:rPr>
        <w:t>Verify package type/complexity, page count/version, print sets and borrower copies, appointment/travel, scanbacks, approval hold, return method, after-hours/rush, and authorized custom items. Do not price from an unreceived package when print volume materially controls price unless the uncertainty is explicit and authorized.</w:t>
      </w:r>
    </w:p>
    <w:p>
      <w:bookmarkStart w:id="1028" w:name="toc_29"/>
      <w:pPr>
        <w:pStyle w:val="Heading2"/>
      </w:pPr>
      <w:r>
        <w:t>33.6–33.9 Review, Approval, Payment, Revision</w:t>
      </w:r>
      <w:bookmarkEnd w:id="1028"/>
    </w:p>
    <w:p>
      <w:pPr>
        <w:spacing w:after="120" w:line="293" w:lineRule="auto"/>
      </w:pPr>
      <w:r>
        <w:rPr>
          <w:rFonts w:ascii="Montserrat" w:hAnsi="Montserrat"/>
          <w:b w:val="0"/>
          <w:i w:val="0"/>
          <w:color w:val="2D2D2D"/>
          <w:sz w:val="21"/>
        </w:rPr>
        <w:t>Review the customer/orderer-facing scope, send the current version, record authorized approval, and satisfy prepaid or authorized Business terms. Revise for package, appointment, printing, scanback, return, wait/resign, or other scope change without rewriting paid history.</w:t>
      </w:r>
    </w:p>
    <w:p>
      <w:bookmarkStart w:id="1029" w:name="toc_30"/>
      <w:pPr>
        <w:pStyle w:val="Heading1"/>
        <w:pageBreakBefore/>
      </w:pPr>
      <w:r>
        <w:t>Chapter 34 — Loan Signing Status, Operator Action &amp; Customer Communication Sequence</w:t>
      </w:r>
      <w:bookmarkEnd w:id="102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tbl>
      <w:tblPr>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Stage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action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Ordering-party/signer communication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Do not advance until</w:t>
            </w:r>
          </w:p>
        </w:tc>
      </w:tr>
      <w:t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Assignment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order and instructions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where maintained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scoped assignment</w:t>
            </w:r>
          </w:p>
        </w:tc>
      </w:tr>
      <w:t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Information/package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request exact missing item</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orderer-directed 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blocker resolved</w:t>
            </w:r>
          </w:p>
        </w:tc>
      </w:tr>
      <w:t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Quote/authorization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send reviewed quote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current quote/authorization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version</w:t>
            </w:r>
          </w:p>
        </w:tc>
      </w:tr>
      <w:t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Package received/replaced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identify active version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package receipt/change notice if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version authority clear</w:t>
            </w:r>
          </w:p>
        </w:tc>
      </w:tr>
      <w:t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Print/QC</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active version and inspect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readiness/issue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gate passes</w:t>
            </w:r>
          </w:p>
        </w:tc>
      </w:tr>
      <w:t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confirm signer/time/location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confirmation/reminder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signer/appointment ready</w:t>
            </w:r>
          </w:p>
        </w:tc>
      </w:tr>
      <w:t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conduct within boundaries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orderer contact for questions/stops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table check complete</w:t>
            </w:r>
          </w:p>
        </w:tc>
      </w:tr>
      <w:t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Scanback</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scan/QC/upload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scanback status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pages accepted</w:t>
            </w:r>
          </w:p>
        </w:tc>
      </w:tr>
      <w:t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Approval hold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wait for approval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concise orderer follow-up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approval received or instruction changes</w:t>
            </w:r>
          </w:p>
        </w:tc>
      </w:tr>
      <w:t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Return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package/label/drop-off/tracking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tracking/return notice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return evidence complete</w:t>
            </w:r>
          </w:p>
        </w:tc>
      </w:tr>
      <w:t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Exception/financial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cause and decision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exception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operational/financial resolution</w:t>
            </w:r>
          </w:p>
        </w:tc>
      </w:tr>
      <w:t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verify all gates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closeout communication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ten gates pass</w:t>
            </w:r>
          </w:p>
        </w:tc>
      </w:tr>
    </w:tbl>
    <w:p/>
    <w:p>
      <w:bookmarkStart w:id="1030" w:name="toc_31"/>
      <w:pPr>
        <w:pStyle w:val="Heading1"/>
        <w:pageBreakBefore/>
      </w:pPr>
      <w:r>
        <w:t>Chapter 35 — Loan Signing Fulfillment Gates</w:t>
      </w:r>
      <w:bookmarkEnd w:id="103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2" name="Picture 2" descr="Loan Signing Ten-Gate Pipeline with connected steps and decision gates"/>
            <wp:cNvGraphicFramePr>
              <a:graphicFrameLocks noChangeAspect="1"/>
            </wp:cNvGraphicFramePr>
            <a:graphic>
              <a:graphicData uri="http://schemas.openxmlformats.org/drawingml/2006/picture">
                <pic:pic>
                  <pic:nvPicPr>
                    <pic:cNvPr id="0" name="fig-20-loan-signing-ten-gates.png"/>
                    <pic:cNvPicPr/>
                  </pic:nvPicPr>
                  <pic:blipFill>
                    <a:blip r:embed="rId12"/>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Loan Signing Ten-Gate Pipeline</w:t>
      </w:r>
    </w:p>
    <w:p>
      <w:bookmarkStart w:id="1031" w:name="toc_32"/>
      <w:pPr>
        <w:pStyle w:val="Heading2"/>
      </w:pPr>
      <w:r>
        <w:t>35.1 Ten-Gate Framework</w:t>
      </w:r>
      <w:bookmarkEnd w:id="1031"/>
    </w:p>
    <w:p>
      <w:pPr>
        <w:spacing w:after="120" w:line="293" w:lineRule="auto"/>
        <w:ind w:left="317" w:hanging="317"/>
      </w:pPr>
      <w:r>
        <w:rPr>
          <w:rFonts w:ascii="Montserrat" w:hAnsi="Montserrat"/>
          <w:b w:val="0"/>
          <w:i w:val="0"/>
          <w:color w:val="2D2D2D"/>
          <w:sz w:val="21"/>
        </w:rPr>
        <w:t>1. Assignment Review.</w:t>
      </w:r>
    </w:p>
    <w:p>
      <w:pPr>
        <w:spacing w:after="120" w:line="293" w:lineRule="auto"/>
        <w:ind w:left="317" w:hanging="317"/>
      </w:pPr>
      <w:r>
        <w:rPr>
          <w:rFonts w:ascii="Montserrat" w:hAnsi="Montserrat"/>
          <w:b w:val="0"/>
          <w:i w:val="0"/>
          <w:color w:val="2D2D2D"/>
          <w:sz w:val="21"/>
        </w:rPr>
        <w:t>2. Pricing / Financial Readiness.</w:t>
      </w:r>
    </w:p>
    <w:p>
      <w:pPr>
        <w:spacing w:after="120" w:line="293" w:lineRule="auto"/>
        <w:ind w:left="317" w:hanging="317"/>
      </w:pPr>
      <w:r>
        <w:rPr>
          <w:rFonts w:ascii="Montserrat" w:hAnsi="Montserrat"/>
          <w:b w:val="0"/>
          <w:i w:val="0"/>
          <w:color w:val="2D2D2D"/>
          <w:sz w:val="21"/>
        </w:rPr>
        <w:t>3. Package Readiness.</w:t>
      </w:r>
    </w:p>
    <w:p>
      <w:pPr>
        <w:spacing w:after="120" w:line="293" w:lineRule="auto"/>
        <w:ind w:left="317" w:hanging="317"/>
      </w:pPr>
      <w:r>
        <w:rPr>
          <w:rFonts w:ascii="Montserrat" w:hAnsi="Montserrat"/>
          <w:b w:val="0"/>
          <w:i w:val="0"/>
          <w:color w:val="2D2D2D"/>
          <w:sz w:val="21"/>
        </w:rPr>
        <w:t>4. Printing / QC.</w:t>
      </w:r>
    </w:p>
    <w:p>
      <w:pPr>
        <w:spacing w:after="120" w:line="293" w:lineRule="auto"/>
        <w:ind w:left="317" w:hanging="317"/>
      </w:pPr>
      <w:r>
        <w:rPr>
          <w:rFonts w:ascii="Montserrat" w:hAnsi="Montserrat"/>
          <w:b w:val="0"/>
          <w:i w:val="0"/>
          <w:color w:val="2D2D2D"/>
          <w:sz w:val="21"/>
        </w:rPr>
        <w:t>5. Appointment Readiness.</w:t>
      </w:r>
    </w:p>
    <w:p>
      <w:pPr>
        <w:spacing w:after="120" w:line="293" w:lineRule="auto"/>
        <w:ind w:left="317" w:hanging="317"/>
      </w:pPr>
      <w:r>
        <w:rPr>
          <w:rFonts w:ascii="Montserrat" w:hAnsi="Montserrat"/>
          <w:b w:val="0"/>
          <w:i w:val="0"/>
          <w:color w:val="2D2D2D"/>
          <w:sz w:val="21"/>
        </w:rPr>
        <w:t>6. Signing Completion.</w:t>
      </w:r>
    </w:p>
    <w:p>
      <w:pPr>
        <w:spacing w:after="120" w:line="293" w:lineRule="auto"/>
        <w:ind w:left="317" w:hanging="317"/>
      </w:pPr>
      <w:r>
        <w:rPr>
          <w:rFonts w:ascii="Montserrat" w:hAnsi="Montserrat"/>
          <w:b w:val="0"/>
          <w:i w:val="0"/>
          <w:color w:val="2D2D2D"/>
          <w:sz w:val="21"/>
        </w:rPr>
        <w:t>7. Scanback / Approval.</w:t>
      </w:r>
    </w:p>
    <w:p>
      <w:pPr>
        <w:spacing w:after="120" w:line="293" w:lineRule="auto"/>
        <w:ind w:left="317" w:hanging="317"/>
      </w:pPr>
      <w:r>
        <w:rPr>
          <w:rFonts w:ascii="Montserrat" w:hAnsi="Montserrat"/>
          <w:b w:val="0"/>
          <w:i w:val="0"/>
          <w:color w:val="2D2D2D"/>
          <w:sz w:val="21"/>
        </w:rPr>
        <w:t>8. Physical Return.</w:t>
      </w:r>
    </w:p>
    <w:p>
      <w:pPr>
        <w:spacing w:after="120" w:line="293" w:lineRule="auto"/>
        <w:ind w:left="317" w:hanging="317"/>
      </w:pPr>
      <w:r>
        <w:rPr>
          <w:rFonts w:ascii="Montserrat" w:hAnsi="Montserrat"/>
          <w:b w:val="0"/>
          <w:i w:val="0"/>
          <w:color w:val="2D2D2D"/>
          <w:sz w:val="21"/>
        </w:rPr>
        <w:t>9. Exception / Financial Resolution.</w:t>
      </w:r>
    </w:p>
    <w:p>
      <w:pPr>
        <w:spacing w:after="120" w:line="293" w:lineRule="auto"/>
        <w:ind w:left="317" w:hanging="317"/>
      </w:pPr>
      <w:r>
        <w:rPr>
          <w:rFonts w:ascii="Montserrat" w:hAnsi="Montserrat"/>
          <w:b w:val="0"/>
          <w:i w:val="0"/>
          <w:color w:val="2D2D2D"/>
          <w:sz w:val="21"/>
        </w:rPr>
        <w:t>10. Final Completion.</w:t>
      </w:r>
    </w:p>
    <w:p>
      <w:bookmarkStart w:id="1032" w:name="toc_33"/>
      <w:pPr>
        <w:pStyle w:val="Heading2"/>
      </w:pPr>
      <w:r>
        <w:t>35.2 Gate Rule</w:t>
      </w:r>
      <w:bookmarkEnd w:id="1032"/>
    </w:p>
    <w:p>
      <w:pPr>
        <w:spacing w:after="120" w:line="293" w:lineRule="auto"/>
      </w:pPr>
      <w:r>
        <w:rPr>
          <w:rFonts w:ascii="Montserrat" w:hAnsi="Montserrat"/>
          <w:b w:val="0"/>
          <w:i w:val="0"/>
          <w:color w:val="2D2D2D"/>
          <w:sz w:val="21"/>
        </w:rPr>
        <w:t>Each gate records purpose, required conditions, operator location, APS display, blocker, communication, authorized override if any, prohibited bypass, and next stage. “Not applicable” must be supported by assignment facts—not selected to make completion easier.</w:t>
      </w:r>
    </w:p>
    <w:p>
      <w:bookmarkStart w:id="1033" w:name="toc_34"/>
      <w:pPr>
        <w:pStyle w:val="Heading1"/>
        <w:pageBreakBefore/>
      </w:pPr>
      <w:r>
        <w:t>Chapter 36 — Package Preparation &amp; Printing</w:t>
      </w:r>
      <w:bookmarkEnd w:id="1033"/>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 name="Picture 3" descr="Package Version Decision Tree with connected steps and decision gates"/>
            <wp:cNvGraphicFramePr>
              <a:graphicFrameLocks noChangeAspect="1"/>
            </wp:cNvGraphicFramePr>
            <a:graphic>
              <a:graphicData uri="http://schemas.openxmlformats.org/drawingml/2006/picture">
                <pic:pic>
                  <pic:nvPicPr>
                    <pic:cNvPr id="0" name="fig-21-package-version-decision.png"/>
                    <pic:cNvPicPr/>
                  </pic:nvPicPr>
                  <pic:blipFill>
                    <a:blip r:embed="rId13"/>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Package Version Decision Tree</w:t>
      </w:r>
    </w:p>
    <w:p>
      <w:bookmarkStart w:id="1034" w:name="toc_35"/>
      <w:pPr>
        <w:pStyle w:val="Heading2"/>
      </w:pPr>
      <w:r>
        <w:t>36.1 Package Version Decision Tree</w:t>
      </w:r>
      <w:bookmarkEnd w:id="1034"/>
    </w:p>
    <w:p>
      <w:pPr>
        <w:spacing w:after="120" w:line="293" w:lineRule="auto"/>
      </w:pPr>
      <w:r>
        <w:rPr>
          <w:rFonts w:ascii="Montserrat" w:hAnsi="Montserrat"/>
          <w:b w:val="0"/>
          <w:i w:val="0"/>
          <w:color w:val="2D2D2D"/>
          <w:sz w:val="21"/>
        </w:rPr>
        <w:t>New file received? Compare source/order/timestamp/instructions. Explicit replacement? Preserve prior version, mark new active version, recalculate page/print facts, and repeat QC. Ambiguous? Hold and contact orderer. Never combine pages across versions without written authority.</w:t>
      </w:r>
    </w:p>
    <w:p>
      <w:bookmarkStart w:id="1035" w:name="toc_36"/>
      <w:pPr>
        <w:pStyle w:val="Heading2"/>
      </w:pPr>
      <w:r>
        <w:t>36.2 Authoritative Page Count and Print Volume</w:t>
      </w:r>
      <w:bookmarkEnd w:id="1035"/>
    </w:p>
    <w:p>
      <w:pPr>
        <w:spacing w:after="120" w:line="293" w:lineRule="auto"/>
      </w:pPr>
      <w:r>
        <w:rPr>
          <w:rFonts w:ascii="Montserrat" w:hAnsi="Montserrat"/>
          <w:b w:val="0"/>
          <w:i w:val="0"/>
          <w:color w:val="2D2D2D"/>
          <w:sz w:val="21"/>
        </w:rPr>
        <w:t>Source pages × signing sets/borrower/additional copies determines expected printed pages; sidedness informs expected sheets. Use verified source count and record the package version.</w:t>
      </w:r>
    </w:p>
    <w:p>
      <w:bookmarkStart w:id="1036" w:name="toc_37"/>
      <w:pPr>
        <w:pStyle w:val="Heading2"/>
      </w:pPr>
      <w:r>
        <w:t>36.3 Print and QC Procedure</w:t>
      </w:r>
      <w:bookmarkEnd w:id="1036"/>
    </w:p>
    <w:p>
      <w:pPr>
        <w:spacing w:after="120" w:line="293" w:lineRule="auto"/>
        <w:ind w:left="317" w:hanging="317"/>
      </w:pPr>
      <w:r>
        <w:rPr>
          <w:rFonts w:ascii="Montserrat" w:hAnsi="Montserrat"/>
          <w:b w:val="0"/>
          <w:i w:val="0"/>
          <w:color w:val="2D2D2D"/>
          <w:sz w:val="21"/>
        </w:rPr>
        <w:t>1. Confirm active version and instructions.</w:t>
      </w:r>
    </w:p>
    <w:p>
      <w:pPr>
        <w:spacing w:after="120" w:line="293" w:lineRule="auto"/>
        <w:ind w:left="317" w:hanging="317"/>
      </w:pPr>
      <w:r>
        <w:rPr>
          <w:rFonts w:ascii="Montserrat" w:hAnsi="Montserrat"/>
          <w:b w:val="0"/>
          <w:i w:val="0"/>
          <w:color w:val="2D2D2D"/>
          <w:sz w:val="21"/>
        </w:rPr>
        <w:t>2. Verify page size, mixed letter/legal needs, scale, sidedness, color, sets, and borrower copies.</w:t>
      </w:r>
    </w:p>
    <w:p>
      <w:pPr>
        <w:spacing w:after="120" w:line="293" w:lineRule="auto"/>
        <w:ind w:left="317" w:hanging="317"/>
      </w:pPr>
      <w:r>
        <w:rPr>
          <w:rFonts w:ascii="Montserrat" w:hAnsi="Montserrat"/>
          <w:b w:val="0"/>
          <w:i w:val="0"/>
          <w:color w:val="2D2D2D"/>
          <w:sz w:val="21"/>
        </w:rPr>
        <w:t>3. Print one controlled set; compare count/order/quality.</w:t>
      </w:r>
    </w:p>
    <w:p>
      <w:pPr>
        <w:spacing w:after="120" w:line="293" w:lineRule="auto"/>
        <w:ind w:left="317" w:hanging="317"/>
      </w:pPr>
      <w:r>
        <w:rPr>
          <w:rFonts w:ascii="Montserrat" w:hAnsi="Montserrat"/>
          <w:b w:val="0"/>
          <w:i w:val="0"/>
          <w:color w:val="2D2D2D"/>
          <w:sz w:val="21"/>
        </w:rPr>
        <w:t>4. Print remaining authorized sets.</w:t>
      </w:r>
    </w:p>
    <w:p>
      <w:pPr>
        <w:spacing w:after="120" w:line="293" w:lineRule="auto"/>
        <w:ind w:left="317" w:hanging="317"/>
      </w:pPr>
      <w:r>
        <w:rPr>
          <w:rFonts w:ascii="Montserrat" w:hAnsi="Montserrat"/>
          <w:b w:val="0"/>
          <w:i w:val="0"/>
          <w:color w:val="2D2D2D"/>
          <w:sz w:val="21"/>
        </w:rPr>
        <w:t>5. Conduct final count/order/legibility/orientation check.</w:t>
      </w:r>
    </w:p>
    <w:p>
      <w:pPr>
        <w:spacing w:after="120" w:line="293" w:lineRule="auto"/>
        <w:ind w:left="317" w:hanging="317"/>
      </w:pPr>
      <w:r>
        <w:rPr>
          <w:rFonts w:ascii="Montserrat" w:hAnsi="Montserrat"/>
          <w:b w:val="0"/>
          <w:i w:val="0"/>
          <w:color w:val="2D2D2D"/>
          <w:sz w:val="21"/>
        </w:rPr>
        <w:t>6. Keep copies separated and protected.</w:t>
      </w:r>
    </w:p>
    <w:p>
      <w:bookmarkStart w:id="1037" w:name="toc_38"/>
      <w:pPr>
        <w:pStyle w:val="Heading1"/>
        <w:pageBreakBefore/>
      </w:pPr>
      <w:r>
        <w:t>Chapter 37 — Conducting the Loan Signing</w:t>
      </w:r>
      <w:bookmarkEnd w:id="1037"/>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4" name="Picture 4" descr="Signer Question Decision Guide with connected steps and decision gates"/>
            <wp:cNvGraphicFramePr>
              <a:graphicFrameLocks noChangeAspect="1"/>
            </wp:cNvGraphicFramePr>
            <a:graphic>
              <a:graphicData uri="http://schemas.openxmlformats.org/drawingml/2006/picture">
                <pic:pic>
                  <pic:nvPicPr>
                    <pic:cNvPr id="0" name="fig-22-signer-question-guide.png"/>
                    <pic:cNvPicPr/>
                  </pic:nvPicPr>
                  <pic:blipFill>
                    <a:blip r:embed="rId14"/>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Signer Question Decision Guide</w:t>
      </w:r>
    </w:p>
    <w:p>
      <w:bookmarkStart w:id="1038" w:name="toc_39"/>
      <w:pPr>
        <w:pStyle w:val="Heading2"/>
      </w:pPr>
      <w:r>
        <w:t>37.1–37.3 Before Leaving, What to Bring, Arrival</w:t>
      </w:r>
      <w:bookmarkEnd w:id="1038"/>
    </w:p>
    <w:p>
      <w:pPr>
        <w:spacing w:after="120" w:line="293" w:lineRule="auto"/>
      </w:pPr>
      <w:r>
        <w:rPr>
          <w:rFonts w:ascii="Montserrat" w:hAnsi="Montserrat"/>
          <w:b w:val="0"/>
          <w:i w:val="0"/>
          <w:color w:val="2D2D2D"/>
          <w:sz w:val="21"/>
        </w:rPr>
        <w:t>Verify gates, active package, copies, journal/seal, IDs/tools, contact/escalation path, route, return materials, phone power, and safety. At arrival confirm signer/location before exposing documents.</w:t>
      </w:r>
    </w:p>
    <w:p>
      <w:bookmarkStart w:id="1039" w:name="toc_40"/>
      <w:pPr>
        <w:pStyle w:val="Heading2"/>
      </w:pPr>
      <w:r>
        <w:t>37.4–37.9 Identity Through Common Document Presentation</w:t>
      </w:r>
      <w:bookmarkEnd w:id="1039"/>
    </w:p>
    <w:p>
      <w:pPr>
        <w:spacing w:after="120" w:line="293" w:lineRule="auto"/>
      </w:pPr>
      <w:r>
        <w:rPr>
          <w:rFonts w:ascii="Montserrat" w:hAnsi="Montserrat"/>
          <w:b w:val="0"/>
          <w:i w:val="0"/>
          <w:color w:val="2D2D2D"/>
          <w:sz w:val="21"/>
        </w:rPr>
        <w:t>Establish satisfactory identity for notarial acts, confirm signer willingness and capacity without legal conclusions, present package in required order, obtain exact signatures/initials/dates, complete only actual certificates, and preserve document order.</w:t>
      </w:r>
    </w:p>
    <w:p>
      <w:bookmarkStart w:id="1040" w:name="toc_41"/>
      <w:pPr>
        <w:pStyle w:val="Heading2"/>
      </w:pPr>
      <w:r>
        <w:t>37.10–37.13 Signer Questions and Ordering-Party Contact</w:t>
      </w:r>
      <w:bookmarkEnd w:id="1040"/>
    </w:p>
    <w:p>
      <w:pPr>
        <w:spacing w:after="120" w:line="293" w:lineRule="auto"/>
      </w:pPr>
      <w:r>
        <w:rPr>
          <w:rFonts w:ascii="Montserrat" w:hAnsi="Montserrat"/>
          <w:b w:val="0"/>
          <w:i w:val="0"/>
          <w:color w:val="2D2D2D"/>
          <w:sz w:val="21"/>
        </w:rPr>
        <w:t>You may identify a document, point to printed information, repeat authorized instructions, and explain notarial procedure. Refer meaning, correctness, loan terms, settlement figures, title, tax, legal effect, or whether to sign. Pause and contact the designated orderer; record the outcome.</w:t>
      </w:r>
    </w:p>
    <w:p>
      <w:bookmarkStart w:id="1041" w:name="toc_42"/>
      <w:pPr>
        <w:pStyle w:val="Heading2"/>
      </w:pPr>
      <w:r>
        <w:t>37.14–37.16 Stipulations, Table Check, Departure</w:t>
      </w:r>
      <w:bookmarkEnd w:id="1041"/>
    </w:p>
    <w:p>
      <w:pPr>
        <w:spacing w:after="120" w:line="293" w:lineRule="auto"/>
      </w:pPr>
      <w:r>
        <w:rPr>
          <w:rFonts w:ascii="Montserrat" w:hAnsi="Montserrat"/>
          <w:b w:val="0"/>
          <w:i w:val="0"/>
          <w:color w:val="2D2D2D"/>
          <w:sz w:val="21"/>
        </w:rPr>
        <w:t>Complete authorized stipulations exactly. Before departure, inspect every required signature/initial/date/certificate, page order, loose items, copies, journal, scanback set, and return package. Do not leave with a correctable omission unnoticed.</w:t>
      </w:r>
    </w:p>
    <w:p>
      <w:bookmarkStart w:id="1042" w:name="toc_43"/>
      <w:pPr>
        <w:pStyle w:val="Heading1"/>
        <w:pageBreakBefore/>
      </w:pPr>
      <w:r>
        <w:t>Chapter 38 — Scanbacks, Approval &amp; Return</w:t>
      </w:r>
      <w:bookmarkEnd w:id="1042"/>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5" name="Picture 5" descr="Scanback → Approval → Return Decision Tree with connected steps and decision gates"/>
            <wp:cNvGraphicFramePr>
              <a:graphicFrameLocks noChangeAspect="1"/>
            </wp:cNvGraphicFramePr>
            <a:graphic>
              <a:graphicData uri="http://schemas.openxmlformats.org/drawingml/2006/picture">
                <pic:pic>
                  <pic:nvPicPr>
                    <pic:cNvPr id="0" name="fig-23-scanback-approval-return.png"/>
                    <pic:cNvPicPr/>
                  </pic:nvPicPr>
                  <pic:blipFill>
                    <a:blip r:embed="rId15"/>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Scanback → Approval → Return Decision Tree</w:t>
      </w:r>
    </w:p>
    <w:p>
      <w:bookmarkStart w:id="1043" w:name="toc_44"/>
      <w:pPr>
        <w:pStyle w:val="Heading2"/>
      </w:pPr>
      <w:r>
        <w:t>38.1–38.4 Requirements, Selection, Upload, Rescan</w:t>
      </w:r>
      <w:bookmarkEnd w:id="1043"/>
    </w:p>
    <w:p>
      <w:pPr>
        <w:spacing w:after="120" w:line="293" w:lineRule="auto"/>
      </w:pPr>
      <w:r>
        <w:rPr>
          <w:rFonts w:ascii="Montserrat" w:hAnsi="Montserrat"/>
          <w:b w:val="0"/>
          <w:i w:val="0"/>
          <w:color w:val="2D2D2D"/>
          <w:sz w:val="21"/>
        </w:rPr>
        <w:t>Identify whether scanbacks are required and which pages/set. Scan in order, legibly, at the required resolution; open/QC the final file. If rejected or incomplete, rescan from the signed originals and preserve the correction trail.</w:t>
      </w:r>
    </w:p>
    <w:p>
      <w:bookmarkStart w:id="1044" w:name="toc_45"/>
      <w:pPr>
        <w:pStyle w:val="Heading2"/>
      </w:pPr>
      <w:r>
        <w:t>38.5–38.7 Approval Before Return</w:t>
      </w:r>
      <w:bookmarkEnd w:id="1044"/>
    </w:p>
    <w:p>
      <w:pPr>
        <w:spacing w:after="120" w:line="293" w:lineRule="auto"/>
      </w:pPr>
      <w:r>
        <w:rPr>
          <w:rFonts w:ascii="Montserrat" w:hAnsi="Montserrat"/>
          <w:b w:val="0"/>
          <w:i w:val="0"/>
          <w:color w:val="2D2D2D"/>
          <w:sz w:val="21"/>
        </w:rPr>
        <w:t>When approval-before-return applies, hold the physical package securely. Follow up through the approved channel and wait. Never return while the gate is unresolved.</w:t>
      </w:r>
    </w:p>
    <w:p>
      <w:bookmarkStart w:id="1045" w:name="toc_46"/>
      <w:pPr>
        <w:pStyle w:val="Heading2"/>
      </w:pPr>
      <w:r>
        <w:t>38.8–38.10 Physical Return and Completion Readiness</w:t>
      </w:r>
      <w:bookmarkEnd w:id="1045"/>
    </w:p>
    <w:p>
      <w:pPr>
        <w:spacing w:after="120" w:line="293" w:lineRule="auto"/>
      </w:pPr>
      <w:r>
        <w:rPr>
          <w:rFonts w:ascii="Montserrat" w:hAnsi="Montserrat"/>
          <w:b w:val="0"/>
          <w:i w:val="0"/>
          <w:color w:val="2D2D2D"/>
          <w:sz w:val="21"/>
        </w:rPr>
        <w:t>Use the authorized label/carrier/drop-off method. Verify package, address/label, cutoff, receipt, tracking, and proof. Completion requires return evidence where applicable.</w:t>
      </w:r>
    </w:p>
    <w:p>
      <w:bookmarkStart w:id="1046" w:name="toc_47"/>
      <w:pPr>
        <w:pStyle w:val="Heading2"/>
      </w:pPr>
      <w:r>
        <w:t>38.11 Scanback → Approval → Return Decision Tree</w:t>
      </w:r>
      <w:bookmarkEnd w:id="1046"/>
    </w:p>
    <w:p>
      <w:pPr>
        <w:spacing w:after="120" w:line="293" w:lineRule="auto"/>
      </w:pPr>
      <w:r>
        <w:rPr>
          <w:rFonts w:ascii="Montserrat" w:hAnsi="Montserrat"/>
          <w:b w:val="0"/>
          <w:i w:val="0"/>
          <w:color w:val="2D2D2D"/>
          <w:sz w:val="21"/>
        </w:rPr>
        <w:t>Scanbacks required? If NO, follow return instruction. If YES, scan/QC/upload. Approval required? If YES, hold securely until explicit approval. Rescan requested? Correct and re-upload. Once approved, return using the authorized label, retain receipt/tracking, and record evidence.</w:t>
      </w:r>
    </w:p>
    <w:p>
      <w:bookmarkStart w:id="1047" w:name="toc_48"/>
      <w:pPr>
        <w:pStyle w:val="Heading2"/>
      </w:pPr>
      <w:r>
        <w:t>38.12 Non-Negotiable Hold</w:t>
      </w:r>
      <w:bookmarkEnd w:id="1047"/>
    </w:p>
    <w:p>
      <w:pPr>
        <w:spacing w:after="120" w:line="293" w:lineRule="auto"/>
      </w:pPr>
      <w:r>
        <w:rPr>
          <w:rFonts w:ascii="Montserrat" w:hAnsi="Montserrat"/>
          <w:b/>
          <w:i w:val="0"/>
          <w:color w:val="2D2D2D"/>
          <w:sz w:val="21"/>
        </w:rPr>
        <w:t>STOP — Never return while an applicable approval-before-return gate is unresolved.</w:t>
      </w:r>
    </w:p>
    <w:p>
      <w:bookmarkStart w:id="1048" w:name="toc_49"/>
      <w:pPr>
        <w:pStyle w:val="Heading1"/>
        <w:pageBreakBefore/>
      </w:pPr>
      <w:r>
        <w:t>Chapter 39 — Loan Signing Exceptions &amp; Financial Resolution</w:t>
      </w:r>
      <w:bookmarkEnd w:id="1048"/>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6" name="Picture 6" descr="Loan Signing Exception Decision Tree with connected steps and decision gates"/>
            <wp:cNvGraphicFramePr>
              <a:graphicFrameLocks noChangeAspect="1"/>
            </wp:cNvGraphicFramePr>
            <a:graphic>
              <a:graphicData uri="http://schemas.openxmlformats.org/drawingml/2006/picture">
                <pic:pic>
                  <pic:nvPicPr>
                    <pic:cNvPr id="0" name="fig-24-loan-signing-exception.png"/>
                    <pic:cNvPicPr/>
                  </pic:nvPicPr>
                  <pic:blipFill>
                    <a:blip r:embed="rId16"/>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Loan Signing Exception Decision Tree</w:t>
      </w:r>
    </w:p>
    <w:p>
      <w:bookmarkStart w:id="1049" w:name="toc_50"/>
      <w:pPr>
        <w:pStyle w:val="Heading2"/>
      </w:pPr>
      <w:r>
        <w:t>39.1–39.5 Cancellation, No-Sign, Partial, Resign, Cause</w:t>
      </w:r>
      <w:bookmarkEnd w:id="1049"/>
    </w:p>
    <w:p>
      <w:pPr>
        <w:spacing w:after="120" w:line="293" w:lineRule="auto"/>
      </w:pPr>
      <w:r>
        <w:rPr>
          <w:rFonts w:ascii="Montserrat" w:hAnsi="Montserrat"/>
          <w:b w:val="0"/>
          <w:i w:val="0"/>
          <w:color w:val="2D2D2D"/>
          <w:sz w:val="21"/>
        </w:rPr>
        <w:t>Record what occurred, when, who directed the stop, documents affected, package custody, and communication. Distinguish APS-caused correction from signer/orderer/document/other causes without making blame statements.</w:t>
      </w:r>
    </w:p>
    <w:p>
      <w:bookmarkStart w:id="1050" w:name="toc_51"/>
      <w:pPr>
        <w:pStyle w:val="Heading2"/>
      </w:pPr>
      <w:r>
        <w:t>39.6 Excessive Wait</w:t>
      </w:r>
      <w:bookmarkEnd w:id="1050"/>
    </w:p>
    <w:p>
      <w:pPr>
        <w:spacing w:after="120" w:line="293" w:lineRule="auto"/>
      </w:pPr>
      <w:r>
        <w:rPr>
          <w:rFonts w:ascii="Montserrat" w:hAnsi="Montserrat"/>
          <w:b w:val="0"/>
          <w:i w:val="0"/>
          <w:color w:val="2D2D2D"/>
          <w:sz w:val="21"/>
        </w:rPr>
        <w:t>The maintained suggestion includes the first 30 minutes, then $25 per started additional 30-minute increment. APS-caused delay is excluded by default. An administrator authorizes any charge, waiver, or custom result; the operator does not collect automatically onsite.</w:t>
      </w:r>
    </w:p>
    <w:p>
      <w:bookmarkStart w:id="1051" w:name="toc_52"/>
      <w:pPr>
        <w:pStyle w:val="Heading2"/>
      </w:pPr>
      <w:r>
        <w:t>39.7–39.11 Stops, Review, Supplemental Invoice, Refund, Resolution</w:t>
      </w:r>
      <w:bookmarkEnd w:id="1051"/>
    </w:p>
    <w:p>
      <w:pPr>
        <w:spacing w:after="120" w:line="293" w:lineRule="auto"/>
      </w:pPr>
      <w:r>
        <w:rPr>
          <w:rFonts w:ascii="Montserrat" w:hAnsi="Montserrat"/>
          <w:b w:val="0"/>
          <w:i w:val="0"/>
          <w:color w:val="2D2D2D"/>
          <w:sz w:val="21"/>
        </w:rPr>
        <w:t>Identity, package, signer, instruction, safety, or legal-boundary stops take priority. Additional amounts use the authorized supplemental-invoice workflow; refunds remain tied to original payment and provider evidence.</w:t>
      </w:r>
    </w:p>
    <w:p>
      <w:bookmarkStart w:id="1052" w:name="toc_53"/>
      <w:pPr>
        <w:pStyle w:val="Heading2"/>
      </w:pPr>
      <w:r>
        <w:t>39.12 Loan Signing Exception Decision Tree</w:t>
      </w:r>
      <w:bookmarkEnd w:id="1052"/>
    </w:p>
    <w:p>
      <w:pPr>
        <w:spacing w:after="120" w:line="293" w:lineRule="auto"/>
      </w:pPr>
      <w:r>
        <w:rPr>
          <w:rFonts w:ascii="Montserrat" w:hAnsi="Montserrat"/>
          <w:b w:val="0"/>
          <w:i w:val="0"/>
          <w:color w:val="2D2D2D"/>
          <w:sz w:val="21"/>
        </w:rPr>
        <w:t>Can the signing safely and lawfully continue under current instructions? If YES, correct/continue and record. If NO, stop and contact orderer. Is same-visit correction authorized? If NO, secure package and follow no-sign/partial/resign direction. Determine cause and financial review separately. Resume or close only after both operational and financial resolution.</w:t>
      </w:r>
    </w:p>
    <w:p>
      <w:bookmarkStart w:id="1053" w:name="toc_54"/>
      <w:pPr>
        <w:pStyle w:val="Heading2"/>
      </w:pPr>
      <w:r>
        <w:t>39.13 Resign Rule</w:t>
      </w:r>
      <w:bookmarkEnd w:id="1053"/>
    </w:p>
    <w:p>
      <w:pPr>
        <w:spacing w:after="120" w:line="293" w:lineRule="auto"/>
      </w:pPr>
      <w:r>
        <w:rPr>
          <w:rFonts w:ascii="Montserrat" w:hAnsi="Montserrat"/>
          <w:b w:val="0"/>
          <w:i w:val="0"/>
          <w:color w:val="2D2D2D"/>
          <w:sz w:val="21"/>
        </w:rPr>
        <w:t>APS-caused resign suggestion is zero. Other causes require administrator review. Link every additional visit and package version to the original assignment.</w:t>
      </w:r>
    </w:p>
    <w:p>
      <w:bookmarkStart w:id="1054" w:name="toc_55"/>
      <w:pPr>
        <w:pStyle w:val="Heading1"/>
        <w:pageBreakBefore/>
      </w:pPr>
      <w:r>
        <w:t>Chapter 40 — Loan Signing Closeout &amp; Completion</w:t>
      </w:r>
      <w:bookmarkEnd w:id="1054"/>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55" w:name="toc_56"/>
      <w:pPr>
        <w:pStyle w:val="Heading2"/>
      </w:pPr>
      <w:r>
        <w:t>40.1–40.5 Completion Evidence</w:t>
      </w:r>
      <w:bookmarkEnd w:id="1055"/>
    </w:p>
    <w:p>
      <w:pPr>
        <w:spacing w:after="120" w:line="293" w:lineRule="auto"/>
      </w:pPr>
      <w:r>
        <w:rPr>
          <w:rFonts w:ascii="Montserrat" w:hAnsi="Montserrat"/>
          <w:b w:val="0"/>
          <w:i w:val="0"/>
          <w:color w:val="2D2D2D"/>
          <w:sz w:val="21"/>
        </w:rPr>
        <w:t>Operational work, scanback/approval, return/tracking, exceptions, and financial resolution each require evidence when applicable.</w:t>
      </w:r>
    </w:p>
    <w:p>
      <w:bookmarkStart w:id="1056" w:name="toc_57"/>
      <w:pPr>
        <w:pStyle w:val="Heading2"/>
      </w:pPr>
      <w:r>
        <w:t>40.6–40.9 Communication, Timeline, Gate, History</w:t>
      </w:r>
      <w:bookmarkEnd w:id="1056"/>
    </w:p>
    <w:p>
      <w:pPr>
        <w:spacing w:after="120" w:line="293" w:lineRule="auto"/>
      </w:pPr>
      <w:r>
        <w:rPr>
          <w:rFonts w:ascii="Montserrat" w:hAnsi="Montserrat"/>
          <w:b w:val="0"/>
          <w:i w:val="0"/>
          <w:color w:val="2D2D2D"/>
          <w:sz w:val="21"/>
        </w:rPr>
        <w:t>Send only the approved closeout communication for the correct audience. Review Timeline for assignment, package, print, appointment, signing, scans, approval, return, exceptions, money, and final completion. Preserve all versions and history.</w:t>
      </w:r>
    </w:p>
    <w:p>
      <w:bookmarkStart w:id="1057" w:name="toc_58"/>
      <w:pPr>
        <w:pStyle w:val="Heading2"/>
      </w:pPr>
      <w:r>
        <w:t>40.10 Closeout Checklist</w:t>
      </w:r>
      <w:bookmarkEnd w:id="1057"/>
    </w:p>
    <w:p>
      <w:pPr>
        <w:pStyle w:val="ListBullet"/>
        <w:spacing w:after="120" w:line="293" w:lineRule="auto"/>
      </w:pPr>
      <w:r>
        <w:rPr>
          <w:rFonts w:ascii="Montserrat" w:hAnsi="Montserrat"/>
          <w:b w:val="0"/>
          <w:i w:val="0"/>
          <w:color w:val="2D2D2D"/>
          <w:sz w:val="21"/>
        </w:rPr>
        <w:t>Active package and all instructions reconciled.</w:t>
      </w:r>
    </w:p>
    <w:p>
      <w:pPr>
        <w:pStyle w:val="ListBullet"/>
        <w:spacing w:after="120" w:line="293" w:lineRule="auto"/>
      </w:pPr>
      <w:r>
        <w:rPr>
          <w:rFonts w:ascii="Montserrat" w:hAnsi="Montserrat"/>
          <w:b w:val="0"/>
          <w:i w:val="0"/>
          <w:color w:val="2D2D2D"/>
          <w:sz w:val="21"/>
        </w:rPr>
        <w:t>Signatures/initials/dates/certificates and table check complete.</w:t>
      </w:r>
    </w:p>
    <w:p>
      <w:pPr>
        <w:pStyle w:val="ListBullet"/>
        <w:spacing w:after="120" w:line="293" w:lineRule="auto"/>
      </w:pPr>
      <w:r>
        <w:rPr>
          <w:rFonts w:ascii="Montserrat" w:hAnsi="Montserrat"/>
          <w:b w:val="0"/>
          <w:i w:val="0"/>
          <w:color w:val="2D2D2D"/>
          <w:sz w:val="21"/>
        </w:rPr>
        <w:t>Scanbacks/QC/approval complete when applicable.</w:t>
      </w:r>
    </w:p>
    <w:p>
      <w:pPr>
        <w:pStyle w:val="ListBullet"/>
        <w:spacing w:after="120" w:line="293" w:lineRule="auto"/>
      </w:pPr>
      <w:r>
        <w:rPr>
          <w:rFonts w:ascii="Montserrat" w:hAnsi="Montserrat"/>
          <w:b w:val="0"/>
          <w:i w:val="0"/>
          <w:color w:val="2D2D2D"/>
          <w:sz w:val="21"/>
        </w:rPr>
        <w:t>Package returned with receipt/tracking when applicable.</w:t>
      </w:r>
    </w:p>
    <w:p>
      <w:pPr>
        <w:pStyle w:val="ListBullet"/>
        <w:spacing w:after="120" w:line="293" w:lineRule="auto"/>
      </w:pPr>
      <w:r>
        <w:rPr>
          <w:rFonts w:ascii="Montserrat" w:hAnsi="Montserrat"/>
          <w:b w:val="0"/>
          <w:i w:val="0"/>
          <w:color w:val="2D2D2D"/>
          <w:sz w:val="21"/>
        </w:rPr>
        <w:t>Exceptions and supplemental/refund decisions resolved.</w:t>
      </w:r>
    </w:p>
    <w:p>
      <w:pPr>
        <w:pStyle w:val="ListBullet"/>
        <w:spacing w:after="120" w:line="293" w:lineRule="auto"/>
      </w:pPr>
      <w:r>
        <w:rPr>
          <w:rFonts w:ascii="Montserrat" w:hAnsi="Montserrat"/>
          <w:b w:val="0"/>
          <w:i w:val="0"/>
          <w:color w:val="2D2D2D"/>
          <w:sz w:val="21"/>
        </w:rPr>
        <w:t>Required payment or authorized terms correctly recorded.</w:t>
      </w:r>
    </w:p>
    <w:p>
      <w:pPr>
        <w:pStyle w:val="ListBullet"/>
        <w:spacing w:after="120" w:line="293" w:lineRule="auto"/>
      </w:pPr>
      <w:r>
        <w:rPr>
          <w:rFonts w:ascii="Montserrat" w:hAnsi="Montserrat"/>
          <w:b w:val="0"/>
          <w:i w:val="0"/>
          <w:color w:val="2D2D2D"/>
          <w:sz w:val="21"/>
        </w:rPr>
        <w:t>Ordering-party/signer communication and Timeline verified.</w:t>
      </w:r>
    </w:p>
    <w:p>
      <w:pPr>
        <w:pStyle w:val="ListBullet"/>
        <w:spacing w:after="120" w:line="293" w:lineRule="auto"/>
      </w:pPr>
      <w:r>
        <w:rPr>
          <w:rFonts w:ascii="Montserrat" w:hAnsi="Montserrat"/>
          <w:b w:val="0"/>
          <w:i w:val="0"/>
          <w:color w:val="2D2D2D"/>
          <w:sz w:val="21"/>
        </w:rPr>
        <w:t>Final completion gate passed without override abuse.</w:t>
      </w:r>
    </w:p>
    <w:p>
      <w:r>
        <w:br w:type="page"/>
      </w:r>
    </w:p>
    <w:p>
      <w:pPr>
        <w:pStyle w:val="Heading1"/>
      </w:pPr>
      <w:r>
        <w:t>Loan Document Source Register</w:t>
      </w:r>
    </w:p>
    <w:p>
      <w:pPr>
        <w:pStyle w:val="Heading2"/>
      </w:pPr>
      <w:r>
        <w:t>Authoritative external sources</w:t>
      </w:r>
    </w:p>
    <w:p>
      <w:pPr>
        <w:spacing w:after="120" w:line="293" w:lineRule="auto"/>
      </w:pPr>
      <w:r>
        <w:rPr>
          <w:rFonts w:ascii="Montserrat" w:hAnsi="Montserrat"/>
          <w:b w:val="0"/>
          <w:i w:val="0"/>
          <w:color w:val="2D2D2D"/>
          <w:sz w:val="21"/>
        </w:rPr>
        <w:t>1. Consumer Financial Protection Bureau — Closing Disclosure and official closing-document consumer guidance.</w:t>
      </w:r>
    </w:p>
    <w:p>
      <w:pPr>
        <w:spacing w:after="120" w:line="293" w:lineRule="auto"/>
      </w:pPr>
      <w:r>
        <w:rPr>
          <w:rFonts w:ascii="Montserrat" w:hAnsi="Montserrat"/>
          <w:b w:val="0"/>
          <w:i w:val="0"/>
          <w:color w:val="2D2D2D"/>
          <w:sz w:val="21"/>
        </w:rPr>
        <w:t>2. Fannie Mae/Freddie Mac Uniform Instruments — current notes, riders/addenda, security instruments, and special-purpose documents.</w:t>
      </w:r>
    </w:p>
    <w:p>
      <w:pPr>
        <w:spacing w:after="120" w:line="293" w:lineRule="auto"/>
      </w:pPr>
      <w:r>
        <w:rPr>
          <w:rFonts w:ascii="Montserrat" w:hAnsi="Montserrat"/>
          <w:b w:val="0"/>
          <w:i w:val="0"/>
          <w:color w:val="2D2D2D"/>
          <w:sz w:val="21"/>
        </w:rPr>
        <w:t>3. HUD Single Family Housing Model Documents — current HECM/reverse-mortgage notes, mortgages, agreements, disclosures, and borrower/non-borrowing-spouse certifications.</w:t>
      </w:r>
    </w:p>
    <w:p>
      <w:pPr>
        <w:spacing w:after="120" w:line="293" w:lineRule="auto"/>
      </w:pPr>
      <w:r>
        <w:rPr>
          <w:rFonts w:ascii="Montserrat" w:hAnsi="Montserrat"/>
          <w:b w:val="0"/>
          <w:i w:val="0"/>
          <w:color w:val="2D2D2D"/>
          <w:sz w:val="21"/>
        </w:rPr>
        <w:t>4. Texas Secretary of State — traditional and online notary educational information; Texas Government Code Chapter 406; applicable Texas Administrative Code.</w:t>
      </w:r>
    </w:p>
    <w:p>
      <w:pPr>
        <w:pStyle w:val="Heading2"/>
      </w:pPr>
      <w:r>
        <w:t>APS sources</w:t>
      </w:r>
    </w:p>
    <w:p>
      <w:pPr>
        <w:pStyle w:val="ListBullet"/>
        <w:spacing w:after="120" w:line="293" w:lineRule="auto"/>
      </w:pPr>
      <w:r>
        <w:rPr>
          <w:rFonts w:ascii="Montserrat" w:hAnsi="Montserrat"/>
          <w:b w:val="0"/>
          <w:i w:val="0"/>
          <w:color w:val="2D2D2D"/>
          <w:sz w:val="21"/>
        </w:rPr>
        <w:t>Release 10 Loan Signing intake, assignment, fulfillment, exception, wait-time, scanback, return, and completion behavior.</w:t>
      </w:r>
    </w:p>
    <w:p>
      <w:pPr>
        <w:pStyle w:val="ListBullet"/>
        <w:spacing w:after="120" w:line="293" w:lineRule="auto"/>
      </w:pPr>
      <w:r>
        <w:rPr>
          <w:rFonts w:ascii="Montserrat" w:hAnsi="Montserrat"/>
          <w:b w:val="0"/>
          <w:i w:val="0"/>
          <w:color w:val="2D2D2D"/>
          <w:sz w:val="21"/>
        </w:rPr>
        <w:t>`assets/js/admin.js`, `assets/js/admin-v3.js`, `assets/js/operator-reference-catalog.mjs`.</w:t>
      </w:r>
    </w:p>
    <w:p>
      <w:pPr>
        <w:pStyle w:val="ListBullet"/>
        <w:spacing w:after="120" w:line="293" w:lineRule="auto"/>
      </w:pPr>
      <w:r>
        <w:rPr>
          <w:rFonts w:ascii="Montserrat" w:hAnsi="Montserrat"/>
          <w:b w:val="0"/>
          <w:i w:val="0"/>
          <w:color w:val="2D2D2D"/>
          <w:sz w:val="21"/>
        </w:rPr>
        <w:t>Loan Signing migrations, Edge Function logic, and Release 6–8 regression/certification tests.</w:t>
      </w:r>
    </w:p>
    <w:p>
      <w:pPr>
        <w:pStyle w:val="Heading2"/>
      </w:pPr>
      <w:r>
        <w:t>Qualification rule</w:t>
      </w:r>
    </w:p>
    <w:p>
      <w:pPr>
        <w:spacing w:after="120" w:line="293" w:lineRule="auto"/>
      </w:pPr>
      <w:r>
        <w:rPr>
          <w:rFonts w:ascii="Montserrat" w:hAnsi="Montserrat"/>
          <w:b w:val="0"/>
          <w:i w:val="0"/>
          <w:color w:val="2D2D2D"/>
          <w:sz w:val="21"/>
        </w:rPr>
        <w:t>The catalog describes common operational purpose and presentation. It does not determine whether a document belongs in a package, whether it is legally sufficient, or whether it must be notarized.</w:t>
      </w:r>
    </w:p>
    <w:p>
      <w:pPr>
        <w:spacing w:after="120" w:line="293" w:lineRule="auto"/>
      </w:pPr>
      <w:r>
        <w:rPr>
          <w:rFonts w:ascii="Montserrat" w:hAnsi="Montserrat"/>
          <w:b/>
          <w:i w:val="0"/>
          <w:color w:val="2D2D2D"/>
          <w:sz w:val="21"/>
        </w:rPr>
        <w:t>COMMONLY NOTARIZED DOES NOT MEAN ALWAYS NOTARIZE.</w:t>
      </w:r>
      <w:r>
        <w:rPr>
          <w:rFonts w:ascii="Montserrat" w:hAnsi="Montserrat"/>
          <w:b w:val="0"/>
          <w:i w:val="0"/>
          <w:color w:val="2D2D2D"/>
          <w:sz w:val="21"/>
        </w:rPr>
        <w:t xml:space="preserve"> Actual authority comes from the document in front of the operator, its actual certificate, applicable law, and authorized assignment instructions.</w:t>
      </w:r>
    </w:p>
    <w:p>
      <w:pPr>
        <w:spacing w:after="120" w:line="293" w:lineRule="auto"/>
      </w:pPr>
      <w:r>
        <w:rPr>
          <w:rFonts w:ascii="Montserrat" w:hAnsi="Montserrat"/>
          <w:b w:val="0"/>
          <w:i w:val="0"/>
          <w:color w:val="2D2D2D"/>
          <w:sz w:val="21"/>
        </w:rPr>
        <w:t>Commercial/custom instruments, lender-specific affidavits, title/escrow forms, tax forms, insurance documents, and nonstandard modification documents vary materially. Their actual package and ordering-party instructions remain authoritative. These entries are source-qualified rather than generalized into legal conclusions.</w:t>
      </w:r>
    </w:p>
    <w:sectPr w:rsidR="00FC693F" w:rsidRPr="0006063C" w:rsidSect="00034616">
      <w:headerReference w:type="default" r:id="rId9"/>
      <w:footerReference w:type="default" r:id="rId10"/>
      <w:pgSz w:w="12240" w:h="15840"/>
      <w:pgMar w:top="1152" w:right="1224" w:bottom="1080"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b w:val="0"/>
        <w:i w:val="0"/>
        <w:color w:val="6B6D78"/>
        <w:sz w:val="16"/>
      </w:rPr>
      <w:t>Release 10 Certified Operations Edition  ·  BATCH 3 · PART IX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b/>
        <w:i w:val="0"/>
        <w:color w:val="6B6D78"/>
        <w:sz w:val="16"/>
      </w:rPr>
      <w:t>ALIGNED PRINT &amp; SCAN  |  OPERATOR HANDBOOK · BATCH 3 · PART 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ontserrat" w:hAnsi="Montserrat"/>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layfair Display" w:hAnsi="Playfair Display"/>
      <w:b/>
      <w:bCs/>
      <w:color w:val="161C4D"/>
      <w:sz w:val="4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Playfair Display" w:hAnsi="Playfair Display"/>
      <w:b/>
      <w:bCs/>
      <w:color w:val="161C4D"/>
      <w:sz w:val="3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Montserrat" w:hAnsi="Montserrat"/>
      <w:b/>
      <w:bCs/>
      <w:color w:val="161C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Operator Handbook — Batch 3 Part IX Loan Signing</dc:title>
  <dc:subject/>
  <dc:creator>Aligned Print &amp; Scan</dc:creator>
  <cp:keywords/>
  <dc:description>generated by python-docx</dc:description>
  <cp:lastModifiedBy/>
  <cp:revision>1</cp:revision>
  <dcterms:created xsi:type="dcterms:W3CDTF">2013-12-23T23:15:00Z</dcterms:created>
  <dcterms:modified xsi:type="dcterms:W3CDTF">2013-12-23T23:15:00Z</dcterms:modified>
  <cp:category/>
</cp:coreProperties>
</file>