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2FA00" w14:textId="77777777" w:rsidR="00131D5B" w:rsidRPr="00131D5B" w:rsidRDefault="00131D5B" w:rsidP="00131D5B">
      <w:pPr>
        <w:rPr>
          <w:b/>
          <w:bCs/>
        </w:rPr>
      </w:pPr>
      <w:r w:rsidRPr="00131D5B">
        <w:rPr>
          <w:b/>
          <w:bCs/>
        </w:rPr>
        <w:t xml:space="preserve">DAMA-DMBOK (Data Management Body of Knowledge) et COBIT (Control Objectives for Information and </w:t>
      </w:r>
      <w:proofErr w:type="spellStart"/>
      <w:r w:rsidRPr="00131D5B">
        <w:rPr>
          <w:b/>
          <w:bCs/>
        </w:rPr>
        <w:t>Related</w:t>
      </w:r>
      <w:proofErr w:type="spellEnd"/>
      <w:r w:rsidRPr="00131D5B">
        <w:rPr>
          <w:b/>
          <w:bCs/>
        </w:rPr>
        <w:t xml:space="preserve"> Technologies)</w:t>
      </w:r>
    </w:p>
    <w:p w14:paraId="0E6D8E78" w14:textId="77777777" w:rsidR="00131D5B" w:rsidRPr="00131D5B" w:rsidRDefault="00131D5B" w:rsidP="00131D5B">
      <w:r w:rsidRPr="00131D5B">
        <w:rPr>
          <w:b/>
          <w:bCs/>
        </w:rPr>
        <w:t>DAMA-DMBOK</w:t>
      </w:r>
      <w:r w:rsidRPr="00131D5B">
        <w:t xml:space="preserve"> et </w:t>
      </w:r>
      <w:r w:rsidRPr="00131D5B">
        <w:rPr>
          <w:b/>
          <w:bCs/>
        </w:rPr>
        <w:t>COBIT</w:t>
      </w:r>
      <w:r w:rsidRPr="00131D5B">
        <w:t xml:space="preserve"> sont deux cadres de référence conçus pour guider les organisations dans différents aspects de la gestion et de la gouvernance des données et des systèmes informatiques. Voici une présentation détaillée de chacun :</w:t>
      </w:r>
    </w:p>
    <w:p w14:paraId="1BFF5B7A" w14:textId="77777777" w:rsidR="00131D5B" w:rsidRPr="00131D5B" w:rsidRDefault="00131D5B" w:rsidP="00131D5B">
      <w:r w:rsidRPr="00131D5B">
        <w:pict w14:anchorId="0065B515">
          <v:rect id="_x0000_i1049" style="width:0;height:1.5pt" o:hralign="center" o:hrstd="t" o:hr="t" fillcolor="#a0a0a0" stroked="f"/>
        </w:pict>
      </w:r>
    </w:p>
    <w:p w14:paraId="2E650E8B" w14:textId="77777777" w:rsidR="00131D5B" w:rsidRPr="00131D5B" w:rsidRDefault="00131D5B" w:rsidP="00131D5B">
      <w:pPr>
        <w:rPr>
          <w:b/>
          <w:bCs/>
        </w:rPr>
      </w:pPr>
      <w:r w:rsidRPr="00131D5B">
        <w:rPr>
          <w:b/>
          <w:bCs/>
        </w:rPr>
        <w:t>DAMA-DMBOK : Guide des connaissances en gestion des données</w:t>
      </w:r>
    </w:p>
    <w:p w14:paraId="75EBBF50" w14:textId="77777777" w:rsidR="00131D5B" w:rsidRPr="00131D5B" w:rsidRDefault="00131D5B" w:rsidP="00131D5B">
      <w:pPr>
        <w:numPr>
          <w:ilvl w:val="0"/>
          <w:numId w:val="1"/>
        </w:numPr>
      </w:pPr>
      <w:r w:rsidRPr="00131D5B">
        <w:t>Publié par l'</w:t>
      </w:r>
      <w:r w:rsidRPr="00131D5B">
        <w:rPr>
          <w:b/>
          <w:bCs/>
        </w:rPr>
        <w:t>Association internationale de gestion des données (DAMA International)</w:t>
      </w:r>
      <w:r w:rsidRPr="00131D5B">
        <w:t xml:space="preserve">, le DAMA-DMBOK propose un guide exhaustif des pratiques de </w:t>
      </w:r>
      <w:r w:rsidRPr="00131D5B">
        <w:rPr>
          <w:b/>
          <w:bCs/>
        </w:rPr>
        <w:t>gestion des données</w:t>
      </w:r>
      <w:r w:rsidRPr="00131D5B">
        <w:t>.</w:t>
      </w:r>
    </w:p>
    <w:p w14:paraId="70175194" w14:textId="77777777" w:rsidR="00131D5B" w:rsidRPr="00131D5B" w:rsidRDefault="00131D5B" w:rsidP="00131D5B">
      <w:pPr>
        <w:numPr>
          <w:ilvl w:val="0"/>
          <w:numId w:val="1"/>
        </w:numPr>
      </w:pPr>
      <w:r w:rsidRPr="00131D5B">
        <w:rPr>
          <w:b/>
          <w:bCs/>
        </w:rPr>
        <w:t>Objectif principal</w:t>
      </w:r>
      <w:r w:rsidRPr="00131D5B">
        <w:t xml:space="preserve"> : Assurer une gestion efficace des données en tant qu’actif organisationnel stratégique.</w:t>
      </w:r>
    </w:p>
    <w:p w14:paraId="49A17BCC" w14:textId="77777777" w:rsidR="00131D5B" w:rsidRPr="00131D5B" w:rsidRDefault="00131D5B" w:rsidP="00131D5B">
      <w:pPr>
        <w:rPr>
          <w:b/>
          <w:bCs/>
        </w:rPr>
      </w:pPr>
      <w:r w:rsidRPr="00131D5B">
        <w:rPr>
          <w:b/>
          <w:bCs/>
        </w:rPr>
        <w:t>Principales caractéristiques :</w:t>
      </w:r>
    </w:p>
    <w:p w14:paraId="531723A4" w14:textId="77777777" w:rsidR="00131D5B" w:rsidRPr="00131D5B" w:rsidRDefault="00131D5B" w:rsidP="00131D5B">
      <w:pPr>
        <w:numPr>
          <w:ilvl w:val="0"/>
          <w:numId w:val="2"/>
        </w:numPr>
      </w:pPr>
      <w:r w:rsidRPr="00131D5B">
        <w:rPr>
          <w:b/>
          <w:bCs/>
        </w:rPr>
        <w:t>Gouvernance des données</w:t>
      </w:r>
      <w:r w:rsidRPr="00131D5B">
        <w:t xml:space="preserve"> : Définit les rôles, politiques et procédures pour la gestion des données.</w:t>
      </w:r>
    </w:p>
    <w:p w14:paraId="39BF1EF3" w14:textId="77777777" w:rsidR="00131D5B" w:rsidRPr="00131D5B" w:rsidRDefault="00131D5B" w:rsidP="00131D5B">
      <w:pPr>
        <w:numPr>
          <w:ilvl w:val="0"/>
          <w:numId w:val="2"/>
        </w:numPr>
      </w:pPr>
      <w:r w:rsidRPr="00131D5B">
        <w:rPr>
          <w:b/>
          <w:bCs/>
        </w:rPr>
        <w:t>Domaines centraux de la gestion des données</w:t>
      </w:r>
      <w:r w:rsidRPr="00131D5B">
        <w:t xml:space="preserve"> :</w:t>
      </w:r>
    </w:p>
    <w:p w14:paraId="741317FB" w14:textId="77777777" w:rsidR="00131D5B" w:rsidRPr="00131D5B" w:rsidRDefault="00131D5B" w:rsidP="00131D5B">
      <w:pPr>
        <w:numPr>
          <w:ilvl w:val="1"/>
          <w:numId w:val="2"/>
        </w:numPr>
      </w:pPr>
      <w:r w:rsidRPr="00131D5B">
        <w:t>Architecture des données</w:t>
      </w:r>
    </w:p>
    <w:p w14:paraId="1B8BF1DF" w14:textId="77777777" w:rsidR="00131D5B" w:rsidRPr="00131D5B" w:rsidRDefault="00131D5B" w:rsidP="00131D5B">
      <w:pPr>
        <w:numPr>
          <w:ilvl w:val="1"/>
          <w:numId w:val="2"/>
        </w:numPr>
      </w:pPr>
      <w:r w:rsidRPr="00131D5B">
        <w:t>Modélisation et conception des données</w:t>
      </w:r>
    </w:p>
    <w:p w14:paraId="62CAAAE3" w14:textId="77777777" w:rsidR="00131D5B" w:rsidRPr="00131D5B" w:rsidRDefault="00131D5B" w:rsidP="00131D5B">
      <w:pPr>
        <w:numPr>
          <w:ilvl w:val="1"/>
          <w:numId w:val="2"/>
        </w:numPr>
      </w:pPr>
      <w:r w:rsidRPr="00131D5B">
        <w:t>Stockage et exploitation des données</w:t>
      </w:r>
    </w:p>
    <w:p w14:paraId="140AAD1F" w14:textId="77777777" w:rsidR="00131D5B" w:rsidRPr="00131D5B" w:rsidRDefault="00131D5B" w:rsidP="00131D5B">
      <w:pPr>
        <w:numPr>
          <w:ilvl w:val="1"/>
          <w:numId w:val="2"/>
        </w:numPr>
      </w:pPr>
      <w:r w:rsidRPr="00131D5B">
        <w:t>Sécurité des données</w:t>
      </w:r>
    </w:p>
    <w:p w14:paraId="78A02BE4" w14:textId="77777777" w:rsidR="00131D5B" w:rsidRPr="00131D5B" w:rsidRDefault="00131D5B" w:rsidP="00131D5B">
      <w:pPr>
        <w:numPr>
          <w:ilvl w:val="1"/>
          <w:numId w:val="2"/>
        </w:numPr>
      </w:pPr>
      <w:r w:rsidRPr="00131D5B">
        <w:t>Intégration des données</w:t>
      </w:r>
    </w:p>
    <w:p w14:paraId="33C0BB6C" w14:textId="77777777" w:rsidR="00131D5B" w:rsidRPr="00131D5B" w:rsidRDefault="00131D5B" w:rsidP="00131D5B">
      <w:pPr>
        <w:numPr>
          <w:ilvl w:val="1"/>
          <w:numId w:val="2"/>
        </w:numPr>
      </w:pPr>
      <w:r w:rsidRPr="00131D5B">
        <w:t>Gestion des données de référence et des données maîtres</w:t>
      </w:r>
    </w:p>
    <w:p w14:paraId="03E2DFCD" w14:textId="77777777" w:rsidR="00131D5B" w:rsidRPr="00131D5B" w:rsidRDefault="00131D5B" w:rsidP="00131D5B">
      <w:pPr>
        <w:numPr>
          <w:ilvl w:val="1"/>
          <w:numId w:val="2"/>
        </w:numPr>
      </w:pPr>
      <w:r w:rsidRPr="00131D5B">
        <w:t>Gestion des métadonnées</w:t>
      </w:r>
    </w:p>
    <w:p w14:paraId="31B06C7A" w14:textId="77777777" w:rsidR="00131D5B" w:rsidRPr="00131D5B" w:rsidRDefault="00131D5B" w:rsidP="00131D5B">
      <w:pPr>
        <w:numPr>
          <w:ilvl w:val="1"/>
          <w:numId w:val="2"/>
        </w:numPr>
      </w:pPr>
      <w:r w:rsidRPr="00131D5B">
        <w:t>Qualité des données</w:t>
      </w:r>
    </w:p>
    <w:p w14:paraId="583E5637" w14:textId="77777777" w:rsidR="00131D5B" w:rsidRPr="00131D5B" w:rsidRDefault="00131D5B" w:rsidP="00131D5B">
      <w:pPr>
        <w:numPr>
          <w:ilvl w:val="1"/>
          <w:numId w:val="2"/>
        </w:numPr>
      </w:pPr>
      <w:r w:rsidRPr="00131D5B">
        <w:t>Intelligence d'affaires et analytique</w:t>
      </w:r>
    </w:p>
    <w:p w14:paraId="6A7E6A46" w14:textId="77777777" w:rsidR="00131D5B" w:rsidRPr="00131D5B" w:rsidRDefault="00131D5B" w:rsidP="00131D5B">
      <w:pPr>
        <w:numPr>
          <w:ilvl w:val="0"/>
          <w:numId w:val="2"/>
        </w:numPr>
      </w:pPr>
      <w:r w:rsidRPr="00131D5B">
        <w:t xml:space="preserve">Offre une approche structurée pour garantir la </w:t>
      </w:r>
      <w:r w:rsidRPr="00131D5B">
        <w:rPr>
          <w:b/>
          <w:bCs/>
        </w:rPr>
        <w:t>cohérence, la fiabilité et la conformité des données</w:t>
      </w:r>
      <w:r w:rsidRPr="00131D5B">
        <w:t>.</w:t>
      </w:r>
    </w:p>
    <w:p w14:paraId="0EBFE7A9" w14:textId="77777777" w:rsidR="00131D5B" w:rsidRPr="00131D5B" w:rsidRDefault="00131D5B" w:rsidP="00131D5B">
      <w:pPr>
        <w:rPr>
          <w:b/>
          <w:bCs/>
        </w:rPr>
      </w:pPr>
      <w:r w:rsidRPr="00131D5B">
        <w:rPr>
          <w:b/>
          <w:bCs/>
        </w:rPr>
        <w:t>Cas d'utilisation :</w:t>
      </w:r>
    </w:p>
    <w:p w14:paraId="7326E4E8" w14:textId="77777777" w:rsidR="00131D5B" w:rsidRPr="00131D5B" w:rsidRDefault="00131D5B" w:rsidP="00131D5B">
      <w:r w:rsidRPr="00131D5B">
        <w:t xml:space="preserve">Adapté aux organisations souhaitant améliorer la </w:t>
      </w:r>
      <w:r w:rsidRPr="00131D5B">
        <w:rPr>
          <w:b/>
          <w:bCs/>
        </w:rPr>
        <w:t>qualité des données, la gouvernance et l’analyse des données</w:t>
      </w:r>
      <w:r w:rsidRPr="00131D5B">
        <w:t>.</w:t>
      </w:r>
    </w:p>
    <w:p w14:paraId="3628800F" w14:textId="77777777" w:rsidR="00131D5B" w:rsidRPr="00131D5B" w:rsidRDefault="00131D5B" w:rsidP="00131D5B">
      <w:r w:rsidRPr="00131D5B">
        <w:pict w14:anchorId="58E08726">
          <v:rect id="_x0000_i1050" style="width:0;height:1.5pt" o:hralign="center" o:hrstd="t" o:hr="t" fillcolor="#a0a0a0" stroked="f"/>
        </w:pict>
      </w:r>
    </w:p>
    <w:p w14:paraId="4AC588F4" w14:textId="77777777" w:rsidR="00131D5B" w:rsidRPr="00131D5B" w:rsidRDefault="00131D5B" w:rsidP="00131D5B">
      <w:pPr>
        <w:rPr>
          <w:b/>
          <w:bCs/>
        </w:rPr>
      </w:pPr>
      <w:r w:rsidRPr="00131D5B">
        <w:rPr>
          <w:b/>
          <w:bCs/>
        </w:rPr>
        <w:t>COBIT : Objectifs de contrôle pour les technologies de l'information et connexes</w:t>
      </w:r>
    </w:p>
    <w:p w14:paraId="1723D9C0" w14:textId="77777777" w:rsidR="00131D5B" w:rsidRPr="00131D5B" w:rsidRDefault="00131D5B" w:rsidP="00131D5B">
      <w:pPr>
        <w:numPr>
          <w:ilvl w:val="0"/>
          <w:numId w:val="3"/>
        </w:numPr>
      </w:pPr>
      <w:r w:rsidRPr="00131D5B">
        <w:t xml:space="preserve">Développé par </w:t>
      </w:r>
      <w:r w:rsidRPr="00131D5B">
        <w:rPr>
          <w:b/>
          <w:bCs/>
        </w:rPr>
        <w:t>ISACA</w:t>
      </w:r>
      <w:r w:rsidRPr="00131D5B">
        <w:t>, COBIT est un cadre de gouvernance et de gestion des technologies de l’information.</w:t>
      </w:r>
    </w:p>
    <w:p w14:paraId="55655DCF" w14:textId="77777777" w:rsidR="00131D5B" w:rsidRPr="00131D5B" w:rsidRDefault="00131D5B" w:rsidP="00131D5B">
      <w:pPr>
        <w:numPr>
          <w:ilvl w:val="0"/>
          <w:numId w:val="3"/>
        </w:numPr>
      </w:pPr>
      <w:r w:rsidRPr="00131D5B">
        <w:rPr>
          <w:b/>
          <w:bCs/>
        </w:rPr>
        <w:t>Objectif principal</w:t>
      </w:r>
      <w:r w:rsidRPr="00131D5B">
        <w:t xml:space="preserve"> : Garantir que les systèmes informatiques sont alignés sur les objectifs de l’entreprise et apportent de la valeur ajoutée.</w:t>
      </w:r>
    </w:p>
    <w:p w14:paraId="2CCCBDD8" w14:textId="77777777" w:rsidR="00131D5B" w:rsidRPr="00131D5B" w:rsidRDefault="00131D5B" w:rsidP="00131D5B">
      <w:pPr>
        <w:rPr>
          <w:b/>
          <w:bCs/>
        </w:rPr>
      </w:pPr>
      <w:r w:rsidRPr="00131D5B">
        <w:rPr>
          <w:b/>
          <w:bCs/>
        </w:rPr>
        <w:lastRenderedPageBreak/>
        <w:t>Principales caractéristiques :</w:t>
      </w:r>
    </w:p>
    <w:p w14:paraId="459BD3AC" w14:textId="77777777" w:rsidR="00131D5B" w:rsidRPr="00131D5B" w:rsidRDefault="00131D5B" w:rsidP="00131D5B">
      <w:pPr>
        <w:numPr>
          <w:ilvl w:val="0"/>
          <w:numId w:val="4"/>
        </w:numPr>
      </w:pPr>
      <w:r w:rsidRPr="00131D5B">
        <w:rPr>
          <w:b/>
          <w:bCs/>
        </w:rPr>
        <w:t>Objectifs de gouvernance et de gestion</w:t>
      </w:r>
      <w:r w:rsidRPr="00131D5B">
        <w:t xml:space="preserve"> :</w:t>
      </w:r>
    </w:p>
    <w:p w14:paraId="06143CEA" w14:textId="77777777" w:rsidR="00131D5B" w:rsidRPr="00131D5B" w:rsidRDefault="00131D5B" w:rsidP="00131D5B">
      <w:pPr>
        <w:numPr>
          <w:ilvl w:val="1"/>
          <w:numId w:val="4"/>
        </w:numPr>
      </w:pPr>
      <w:r w:rsidRPr="00131D5B">
        <w:t>Aligner les stratégies informatiques et commerciales.</w:t>
      </w:r>
    </w:p>
    <w:p w14:paraId="51717ECD" w14:textId="77777777" w:rsidR="00131D5B" w:rsidRPr="00131D5B" w:rsidRDefault="00131D5B" w:rsidP="00131D5B">
      <w:pPr>
        <w:numPr>
          <w:ilvl w:val="1"/>
          <w:numId w:val="4"/>
        </w:numPr>
      </w:pPr>
      <w:r w:rsidRPr="00131D5B">
        <w:t>Optimiser la gestion des risques.</w:t>
      </w:r>
    </w:p>
    <w:p w14:paraId="0A1A553E" w14:textId="77777777" w:rsidR="00131D5B" w:rsidRPr="00131D5B" w:rsidRDefault="00131D5B" w:rsidP="00131D5B">
      <w:pPr>
        <w:numPr>
          <w:ilvl w:val="1"/>
          <w:numId w:val="4"/>
        </w:numPr>
      </w:pPr>
      <w:r w:rsidRPr="00131D5B">
        <w:t>Assurer la conformité aux réglementations.</w:t>
      </w:r>
    </w:p>
    <w:p w14:paraId="2F44EC0A" w14:textId="77777777" w:rsidR="00131D5B" w:rsidRPr="00131D5B" w:rsidRDefault="00131D5B" w:rsidP="00131D5B">
      <w:pPr>
        <w:numPr>
          <w:ilvl w:val="1"/>
          <w:numId w:val="4"/>
        </w:numPr>
      </w:pPr>
      <w:r w:rsidRPr="00131D5B">
        <w:t>Améliorer la performance des systèmes informatiques.</w:t>
      </w:r>
    </w:p>
    <w:p w14:paraId="021FFE2C" w14:textId="77777777" w:rsidR="00131D5B" w:rsidRPr="00131D5B" w:rsidRDefault="00131D5B" w:rsidP="00131D5B">
      <w:pPr>
        <w:numPr>
          <w:ilvl w:val="0"/>
          <w:numId w:val="4"/>
        </w:numPr>
      </w:pPr>
      <w:r w:rsidRPr="00131D5B">
        <w:rPr>
          <w:b/>
          <w:bCs/>
        </w:rPr>
        <w:t>Composantes principales</w:t>
      </w:r>
      <w:r w:rsidRPr="00131D5B">
        <w:t xml:space="preserve"> :</w:t>
      </w:r>
    </w:p>
    <w:p w14:paraId="20669CDA" w14:textId="77777777" w:rsidR="00131D5B" w:rsidRPr="00131D5B" w:rsidRDefault="00131D5B" w:rsidP="00131D5B">
      <w:pPr>
        <w:numPr>
          <w:ilvl w:val="1"/>
          <w:numId w:val="4"/>
        </w:numPr>
      </w:pPr>
      <w:r w:rsidRPr="00131D5B">
        <w:t>Principes et politiques</w:t>
      </w:r>
    </w:p>
    <w:p w14:paraId="1B9C19E3" w14:textId="77777777" w:rsidR="00131D5B" w:rsidRPr="00131D5B" w:rsidRDefault="00131D5B" w:rsidP="00131D5B">
      <w:pPr>
        <w:numPr>
          <w:ilvl w:val="1"/>
          <w:numId w:val="4"/>
        </w:numPr>
      </w:pPr>
      <w:r w:rsidRPr="00131D5B">
        <w:t>Processus</w:t>
      </w:r>
    </w:p>
    <w:p w14:paraId="4E99D6E8" w14:textId="77777777" w:rsidR="00131D5B" w:rsidRPr="00131D5B" w:rsidRDefault="00131D5B" w:rsidP="00131D5B">
      <w:pPr>
        <w:numPr>
          <w:ilvl w:val="1"/>
          <w:numId w:val="4"/>
        </w:numPr>
      </w:pPr>
      <w:r w:rsidRPr="00131D5B">
        <w:t>Structures organisationnelles</w:t>
      </w:r>
    </w:p>
    <w:p w14:paraId="7ED65A05" w14:textId="77777777" w:rsidR="00131D5B" w:rsidRPr="00131D5B" w:rsidRDefault="00131D5B" w:rsidP="00131D5B">
      <w:pPr>
        <w:numPr>
          <w:ilvl w:val="1"/>
          <w:numId w:val="4"/>
        </w:numPr>
      </w:pPr>
      <w:r w:rsidRPr="00131D5B">
        <w:t>Compétences, personnes et culture</w:t>
      </w:r>
    </w:p>
    <w:p w14:paraId="0048668F" w14:textId="77777777" w:rsidR="00131D5B" w:rsidRPr="00131D5B" w:rsidRDefault="00131D5B" w:rsidP="00131D5B">
      <w:pPr>
        <w:numPr>
          <w:ilvl w:val="1"/>
          <w:numId w:val="4"/>
        </w:numPr>
      </w:pPr>
      <w:r w:rsidRPr="00131D5B">
        <w:t>Informations, services, infrastructures et applications</w:t>
      </w:r>
    </w:p>
    <w:p w14:paraId="74932F6C" w14:textId="77777777" w:rsidR="00131D5B" w:rsidRPr="00131D5B" w:rsidRDefault="00131D5B" w:rsidP="00131D5B">
      <w:pPr>
        <w:numPr>
          <w:ilvl w:val="0"/>
          <w:numId w:val="4"/>
        </w:numPr>
      </w:pPr>
      <w:r w:rsidRPr="00131D5B">
        <w:t xml:space="preserve">Met l'accent sur des domaines tels que la </w:t>
      </w:r>
      <w:r w:rsidRPr="00131D5B">
        <w:rPr>
          <w:b/>
          <w:bCs/>
        </w:rPr>
        <w:t>gestion des risques</w:t>
      </w:r>
      <w:r w:rsidRPr="00131D5B">
        <w:t>, l’</w:t>
      </w:r>
      <w:r w:rsidRPr="00131D5B">
        <w:rPr>
          <w:b/>
          <w:bCs/>
        </w:rPr>
        <w:t>optimisation des ressources</w:t>
      </w:r>
      <w:r w:rsidRPr="00131D5B">
        <w:t xml:space="preserve"> et la </w:t>
      </w:r>
      <w:r w:rsidRPr="00131D5B">
        <w:rPr>
          <w:b/>
          <w:bCs/>
        </w:rPr>
        <w:t>livraison de valeur</w:t>
      </w:r>
      <w:r w:rsidRPr="00131D5B">
        <w:t>.</w:t>
      </w:r>
    </w:p>
    <w:p w14:paraId="4D8F3A45" w14:textId="77777777" w:rsidR="00131D5B" w:rsidRPr="00131D5B" w:rsidRDefault="00131D5B" w:rsidP="00131D5B">
      <w:pPr>
        <w:rPr>
          <w:b/>
          <w:bCs/>
        </w:rPr>
      </w:pPr>
      <w:r w:rsidRPr="00131D5B">
        <w:rPr>
          <w:b/>
          <w:bCs/>
        </w:rPr>
        <w:t>Cas d'utilisation :</w:t>
      </w:r>
    </w:p>
    <w:p w14:paraId="0ABB50D8" w14:textId="77777777" w:rsidR="00131D5B" w:rsidRPr="00131D5B" w:rsidRDefault="00131D5B" w:rsidP="00131D5B">
      <w:r w:rsidRPr="00131D5B">
        <w:t xml:space="preserve">Adapté aux organisations cherchant à renforcer la </w:t>
      </w:r>
      <w:r w:rsidRPr="00131D5B">
        <w:rPr>
          <w:b/>
          <w:bCs/>
        </w:rPr>
        <w:t>gouvernance informatique, la gestion des risques et la conformité réglementaire</w:t>
      </w:r>
      <w:r w:rsidRPr="00131D5B">
        <w:t>.</w:t>
      </w:r>
    </w:p>
    <w:p w14:paraId="4F1937E6" w14:textId="77777777" w:rsidR="00131D5B" w:rsidRPr="00131D5B" w:rsidRDefault="00131D5B" w:rsidP="00131D5B">
      <w:r w:rsidRPr="00131D5B">
        <w:pict w14:anchorId="38AD9034">
          <v:rect id="_x0000_i1051" style="width:0;height:1.5pt" o:hralign="center" o:hrstd="t" o:hr="t" fillcolor="#a0a0a0" stroked="f"/>
        </w:pict>
      </w:r>
    </w:p>
    <w:p w14:paraId="15824CB2" w14:textId="77777777" w:rsidR="00131D5B" w:rsidRPr="00131D5B" w:rsidRDefault="00131D5B" w:rsidP="00131D5B">
      <w:pPr>
        <w:rPr>
          <w:b/>
          <w:bCs/>
        </w:rPr>
      </w:pPr>
      <w:r w:rsidRPr="00131D5B">
        <w:rPr>
          <w:b/>
          <w:bCs/>
        </w:rPr>
        <w:t>Comparaison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3903"/>
        <w:gridCol w:w="3627"/>
      </w:tblGrid>
      <w:tr w:rsidR="00131D5B" w:rsidRPr="00131D5B" w14:paraId="6E14ADA1" w14:textId="77777777" w:rsidTr="00131D5B">
        <w:trPr>
          <w:tblHeader/>
          <w:tblCellSpacing w:w="15" w:type="dxa"/>
        </w:trPr>
        <w:tc>
          <w:tcPr>
            <w:tcW w:w="0" w:type="auto"/>
            <w:vAlign w:val="center"/>
            <w:hideMark/>
          </w:tcPr>
          <w:p w14:paraId="42C50FD9" w14:textId="77777777" w:rsidR="00131D5B" w:rsidRPr="00131D5B" w:rsidRDefault="00131D5B" w:rsidP="00131D5B">
            <w:pPr>
              <w:rPr>
                <w:b/>
                <w:bCs/>
              </w:rPr>
            </w:pPr>
            <w:r w:rsidRPr="00131D5B">
              <w:rPr>
                <w:b/>
                <w:bCs/>
              </w:rPr>
              <w:t>Aspect</w:t>
            </w:r>
          </w:p>
        </w:tc>
        <w:tc>
          <w:tcPr>
            <w:tcW w:w="0" w:type="auto"/>
            <w:vAlign w:val="center"/>
            <w:hideMark/>
          </w:tcPr>
          <w:p w14:paraId="1CFDC0BD" w14:textId="77777777" w:rsidR="00131D5B" w:rsidRPr="00131D5B" w:rsidRDefault="00131D5B" w:rsidP="00131D5B">
            <w:pPr>
              <w:rPr>
                <w:b/>
                <w:bCs/>
              </w:rPr>
            </w:pPr>
            <w:r w:rsidRPr="00131D5B">
              <w:rPr>
                <w:b/>
                <w:bCs/>
              </w:rPr>
              <w:t>DAMA-DMBOK</w:t>
            </w:r>
          </w:p>
        </w:tc>
        <w:tc>
          <w:tcPr>
            <w:tcW w:w="0" w:type="auto"/>
            <w:vAlign w:val="center"/>
            <w:hideMark/>
          </w:tcPr>
          <w:p w14:paraId="4DD7E262" w14:textId="77777777" w:rsidR="00131D5B" w:rsidRPr="00131D5B" w:rsidRDefault="00131D5B" w:rsidP="00131D5B">
            <w:pPr>
              <w:rPr>
                <w:b/>
                <w:bCs/>
              </w:rPr>
            </w:pPr>
            <w:r w:rsidRPr="00131D5B">
              <w:rPr>
                <w:b/>
                <w:bCs/>
              </w:rPr>
              <w:t>COBIT</w:t>
            </w:r>
          </w:p>
        </w:tc>
      </w:tr>
      <w:tr w:rsidR="00131D5B" w:rsidRPr="00131D5B" w14:paraId="6D8F72EA" w14:textId="77777777" w:rsidTr="00131D5B">
        <w:trPr>
          <w:tblCellSpacing w:w="15" w:type="dxa"/>
        </w:trPr>
        <w:tc>
          <w:tcPr>
            <w:tcW w:w="0" w:type="auto"/>
            <w:vAlign w:val="center"/>
            <w:hideMark/>
          </w:tcPr>
          <w:p w14:paraId="2A55E623" w14:textId="77777777" w:rsidR="00131D5B" w:rsidRPr="00131D5B" w:rsidRDefault="00131D5B" w:rsidP="00131D5B">
            <w:r w:rsidRPr="00131D5B">
              <w:rPr>
                <w:b/>
                <w:bCs/>
              </w:rPr>
              <w:t>Objectif</w:t>
            </w:r>
          </w:p>
        </w:tc>
        <w:tc>
          <w:tcPr>
            <w:tcW w:w="0" w:type="auto"/>
            <w:vAlign w:val="center"/>
            <w:hideMark/>
          </w:tcPr>
          <w:p w14:paraId="3C6A8EE1" w14:textId="77777777" w:rsidR="00131D5B" w:rsidRPr="00131D5B" w:rsidRDefault="00131D5B" w:rsidP="00131D5B">
            <w:r w:rsidRPr="00131D5B">
              <w:t>Gestion et gouvernance des données</w:t>
            </w:r>
          </w:p>
        </w:tc>
        <w:tc>
          <w:tcPr>
            <w:tcW w:w="0" w:type="auto"/>
            <w:vAlign w:val="center"/>
            <w:hideMark/>
          </w:tcPr>
          <w:p w14:paraId="5EF81020" w14:textId="77777777" w:rsidR="00131D5B" w:rsidRPr="00131D5B" w:rsidRDefault="00131D5B" w:rsidP="00131D5B">
            <w:r w:rsidRPr="00131D5B">
              <w:t>Gouvernance et gestion des TI</w:t>
            </w:r>
          </w:p>
        </w:tc>
      </w:tr>
      <w:tr w:rsidR="00131D5B" w:rsidRPr="00131D5B" w14:paraId="7BB97B4D" w14:textId="77777777" w:rsidTr="00131D5B">
        <w:trPr>
          <w:tblCellSpacing w:w="15" w:type="dxa"/>
        </w:trPr>
        <w:tc>
          <w:tcPr>
            <w:tcW w:w="0" w:type="auto"/>
            <w:vAlign w:val="center"/>
            <w:hideMark/>
          </w:tcPr>
          <w:p w14:paraId="33386C4D" w14:textId="77777777" w:rsidR="00131D5B" w:rsidRPr="00131D5B" w:rsidRDefault="00131D5B" w:rsidP="00131D5B">
            <w:r w:rsidRPr="00131D5B">
              <w:rPr>
                <w:b/>
                <w:bCs/>
              </w:rPr>
              <w:t>Sujets principaux</w:t>
            </w:r>
          </w:p>
        </w:tc>
        <w:tc>
          <w:tcPr>
            <w:tcW w:w="0" w:type="auto"/>
            <w:vAlign w:val="center"/>
            <w:hideMark/>
          </w:tcPr>
          <w:p w14:paraId="169F9207" w14:textId="77777777" w:rsidR="00131D5B" w:rsidRPr="00131D5B" w:rsidRDefault="00131D5B" w:rsidP="00131D5B">
            <w:r w:rsidRPr="00131D5B">
              <w:t>Processus et stratégies liés aux données</w:t>
            </w:r>
          </w:p>
        </w:tc>
        <w:tc>
          <w:tcPr>
            <w:tcW w:w="0" w:type="auto"/>
            <w:vAlign w:val="center"/>
            <w:hideMark/>
          </w:tcPr>
          <w:p w14:paraId="02B1D809" w14:textId="77777777" w:rsidR="00131D5B" w:rsidRPr="00131D5B" w:rsidRDefault="00131D5B" w:rsidP="00131D5B">
            <w:r w:rsidRPr="00131D5B">
              <w:t>Processus, contrôles et alignement TI</w:t>
            </w:r>
          </w:p>
        </w:tc>
      </w:tr>
      <w:tr w:rsidR="00131D5B" w:rsidRPr="00131D5B" w14:paraId="101FED9E" w14:textId="77777777" w:rsidTr="00131D5B">
        <w:trPr>
          <w:tblCellSpacing w:w="15" w:type="dxa"/>
        </w:trPr>
        <w:tc>
          <w:tcPr>
            <w:tcW w:w="0" w:type="auto"/>
            <w:vAlign w:val="center"/>
            <w:hideMark/>
          </w:tcPr>
          <w:p w14:paraId="15BC355C" w14:textId="77777777" w:rsidR="00131D5B" w:rsidRPr="00131D5B" w:rsidRDefault="00131D5B" w:rsidP="00131D5B">
            <w:r w:rsidRPr="00131D5B">
              <w:rPr>
                <w:b/>
                <w:bCs/>
              </w:rPr>
              <w:t>Public cible</w:t>
            </w:r>
          </w:p>
        </w:tc>
        <w:tc>
          <w:tcPr>
            <w:tcW w:w="0" w:type="auto"/>
            <w:vAlign w:val="center"/>
            <w:hideMark/>
          </w:tcPr>
          <w:p w14:paraId="7057C2B1" w14:textId="77777777" w:rsidR="00131D5B" w:rsidRPr="00131D5B" w:rsidRDefault="00131D5B" w:rsidP="00131D5B">
            <w:r w:rsidRPr="00131D5B">
              <w:t>Gestionnaires de données, analystes, architectes</w:t>
            </w:r>
          </w:p>
        </w:tc>
        <w:tc>
          <w:tcPr>
            <w:tcW w:w="0" w:type="auto"/>
            <w:vAlign w:val="center"/>
            <w:hideMark/>
          </w:tcPr>
          <w:p w14:paraId="71D4E9F2" w14:textId="77777777" w:rsidR="00131D5B" w:rsidRPr="00131D5B" w:rsidRDefault="00131D5B" w:rsidP="00131D5B">
            <w:r w:rsidRPr="00131D5B">
              <w:t>Responsables TI, auditeurs, cadres dirigeants</w:t>
            </w:r>
          </w:p>
        </w:tc>
      </w:tr>
      <w:tr w:rsidR="00131D5B" w:rsidRPr="00131D5B" w14:paraId="34EB7C89" w14:textId="77777777" w:rsidTr="00131D5B">
        <w:trPr>
          <w:tblCellSpacing w:w="15" w:type="dxa"/>
        </w:trPr>
        <w:tc>
          <w:tcPr>
            <w:tcW w:w="0" w:type="auto"/>
            <w:vAlign w:val="center"/>
            <w:hideMark/>
          </w:tcPr>
          <w:p w14:paraId="33EB6DE3" w14:textId="77777777" w:rsidR="00131D5B" w:rsidRPr="00131D5B" w:rsidRDefault="00131D5B" w:rsidP="00131D5B">
            <w:r w:rsidRPr="00131D5B">
              <w:rPr>
                <w:b/>
                <w:bCs/>
              </w:rPr>
              <w:t>Approche</w:t>
            </w:r>
          </w:p>
        </w:tc>
        <w:tc>
          <w:tcPr>
            <w:tcW w:w="0" w:type="auto"/>
            <w:vAlign w:val="center"/>
            <w:hideMark/>
          </w:tcPr>
          <w:p w14:paraId="69E36CBD" w14:textId="77777777" w:rsidR="00131D5B" w:rsidRPr="00131D5B" w:rsidRDefault="00131D5B" w:rsidP="00131D5B">
            <w:r w:rsidRPr="00131D5B">
              <w:t>Processus détaillés pour la gestion des données</w:t>
            </w:r>
          </w:p>
        </w:tc>
        <w:tc>
          <w:tcPr>
            <w:tcW w:w="0" w:type="auto"/>
            <w:vAlign w:val="center"/>
            <w:hideMark/>
          </w:tcPr>
          <w:p w14:paraId="54CF6F3E" w14:textId="77777777" w:rsidR="00131D5B" w:rsidRPr="00131D5B" w:rsidRDefault="00131D5B" w:rsidP="00131D5B">
            <w:r w:rsidRPr="00131D5B">
              <w:t>Cadre global de gouvernance des TI</w:t>
            </w:r>
          </w:p>
        </w:tc>
      </w:tr>
    </w:tbl>
    <w:p w14:paraId="49155389" w14:textId="77777777" w:rsidR="00131D5B" w:rsidRPr="00131D5B" w:rsidRDefault="00131D5B" w:rsidP="00131D5B">
      <w:r w:rsidRPr="00131D5B">
        <w:pict w14:anchorId="7581E31E">
          <v:rect id="_x0000_i1052" style="width:0;height:1.5pt" o:hralign="center" o:hrstd="t" o:hr="t" fillcolor="#a0a0a0" stroked="f"/>
        </w:pict>
      </w:r>
    </w:p>
    <w:p w14:paraId="52327859" w14:textId="77777777" w:rsidR="00131D5B" w:rsidRPr="00131D5B" w:rsidRDefault="00131D5B" w:rsidP="00131D5B">
      <w:pPr>
        <w:rPr>
          <w:b/>
          <w:bCs/>
        </w:rPr>
      </w:pPr>
      <w:r w:rsidRPr="00131D5B">
        <w:rPr>
          <w:b/>
          <w:bCs/>
        </w:rPr>
        <w:t>Intégration</w:t>
      </w:r>
    </w:p>
    <w:p w14:paraId="753FD668" w14:textId="77777777" w:rsidR="00131D5B" w:rsidRPr="00131D5B" w:rsidRDefault="00131D5B" w:rsidP="00131D5B">
      <w:r w:rsidRPr="00131D5B">
        <w:t>Ces deux cadres peuvent être complémentaires :</w:t>
      </w:r>
    </w:p>
    <w:p w14:paraId="2D113916" w14:textId="77777777" w:rsidR="00131D5B" w:rsidRPr="00131D5B" w:rsidRDefault="00131D5B" w:rsidP="00131D5B">
      <w:pPr>
        <w:numPr>
          <w:ilvl w:val="0"/>
          <w:numId w:val="5"/>
        </w:numPr>
      </w:pPr>
      <w:r w:rsidRPr="00131D5B">
        <w:t xml:space="preserve">Utilisez </w:t>
      </w:r>
      <w:r w:rsidRPr="00131D5B">
        <w:rPr>
          <w:b/>
          <w:bCs/>
        </w:rPr>
        <w:t>DAMA-DMBOK</w:t>
      </w:r>
      <w:r w:rsidRPr="00131D5B">
        <w:t xml:space="preserve"> pour améliorer la qualité et la gouvernance des données au sein de votre organisation.</w:t>
      </w:r>
    </w:p>
    <w:p w14:paraId="08C7CAA7" w14:textId="77777777" w:rsidR="00131D5B" w:rsidRPr="00131D5B" w:rsidRDefault="00131D5B" w:rsidP="00131D5B">
      <w:pPr>
        <w:numPr>
          <w:ilvl w:val="0"/>
          <w:numId w:val="5"/>
        </w:numPr>
      </w:pPr>
      <w:r w:rsidRPr="00131D5B">
        <w:lastRenderedPageBreak/>
        <w:t xml:space="preserve">Utilisez </w:t>
      </w:r>
      <w:r w:rsidRPr="00131D5B">
        <w:rPr>
          <w:b/>
          <w:bCs/>
        </w:rPr>
        <w:t>COBIT</w:t>
      </w:r>
      <w:r w:rsidRPr="00131D5B">
        <w:t xml:space="preserve"> pour veiller à ce que les systèmes informatiques soutiennent efficacement la gestion et l’utilisation des données.</w:t>
      </w:r>
    </w:p>
    <w:p w14:paraId="634D369F" w14:textId="77777777" w:rsidR="00131D5B" w:rsidRDefault="00131D5B"/>
    <w:sectPr w:rsidR="00131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1783"/>
    <w:multiLevelType w:val="multilevel"/>
    <w:tmpl w:val="450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A6AB5"/>
    <w:multiLevelType w:val="multilevel"/>
    <w:tmpl w:val="FCDC1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D41"/>
    <w:multiLevelType w:val="multilevel"/>
    <w:tmpl w:val="A058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464EF"/>
    <w:multiLevelType w:val="multilevel"/>
    <w:tmpl w:val="E09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E5D3B"/>
    <w:multiLevelType w:val="multilevel"/>
    <w:tmpl w:val="B43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88429">
    <w:abstractNumId w:val="3"/>
  </w:num>
  <w:num w:numId="2" w16cid:durableId="1577083419">
    <w:abstractNumId w:val="1"/>
  </w:num>
  <w:num w:numId="3" w16cid:durableId="732967583">
    <w:abstractNumId w:val="4"/>
  </w:num>
  <w:num w:numId="4" w16cid:durableId="1900902685">
    <w:abstractNumId w:val="2"/>
  </w:num>
  <w:num w:numId="5" w16cid:durableId="119033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5B"/>
    <w:rsid w:val="00131D5B"/>
    <w:rsid w:val="002E1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1613"/>
  <w15:chartTrackingRefBased/>
  <w15:docId w15:val="{06E0AB0A-B96C-4FFA-AE85-54C55E03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550855">
      <w:bodyDiv w:val="1"/>
      <w:marLeft w:val="0"/>
      <w:marRight w:val="0"/>
      <w:marTop w:val="0"/>
      <w:marBottom w:val="0"/>
      <w:divBdr>
        <w:top w:val="none" w:sz="0" w:space="0" w:color="auto"/>
        <w:left w:val="none" w:sz="0" w:space="0" w:color="auto"/>
        <w:bottom w:val="none" w:sz="0" w:space="0" w:color="auto"/>
        <w:right w:val="none" w:sz="0" w:space="0" w:color="auto"/>
      </w:divBdr>
    </w:div>
    <w:div w:id="2046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2647</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 CARMA2</dc:creator>
  <cp:keywords/>
  <dc:description/>
  <cp:lastModifiedBy>CARMA CARMA2</cp:lastModifiedBy>
  <cp:revision>1</cp:revision>
  <dcterms:created xsi:type="dcterms:W3CDTF">2025-01-08T13:57:00Z</dcterms:created>
  <dcterms:modified xsi:type="dcterms:W3CDTF">2025-01-08T13:58:00Z</dcterms:modified>
</cp:coreProperties>
</file>