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05BF" w14:textId="77777777" w:rsidR="005F605B" w:rsidRPr="005F605B" w:rsidRDefault="005F605B" w:rsidP="005F605B">
      <w:pPr>
        <w:rPr>
          <w:b/>
          <w:bCs/>
        </w:rPr>
      </w:pPr>
      <w:r w:rsidRPr="005F605B">
        <w:rPr>
          <w:b/>
          <w:bCs/>
        </w:rPr>
        <w:t>Étude de Cas – Confidentialité dans le Secteur de la Santé</w:t>
      </w:r>
    </w:p>
    <w:p w14:paraId="289D1DF2" w14:textId="77777777" w:rsidR="005F605B" w:rsidRDefault="005F605B" w:rsidP="005F605B"/>
    <w:p w14:paraId="2E92912D" w14:textId="77777777" w:rsidR="005F605B" w:rsidRDefault="005F605B" w:rsidP="005F605B">
      <w:r w:rsidRPr="005F605B">
        <w:rPr>
          <w:b/>
          <w:bCs/>
        </w:rPr>
        <w:t>Contexte</w:t>
      </w:r>
      <w:r>
        <w:t xml:space="preserve"> : Une organisation de santé souhaite partager des données anonymisées des patients avec des tiers pour financer des recherches supplémentaires.</w:t>
      </w:r>
    </w:p>
    <w:p w14:paraId="47D83108" w14:textId="77777777" w:rsidR="005F605B" w:rsidRDefault="005F605B" w:rsidP="005F605B"/>
    <w:p w14:paraId="4BDDD6E6" w14:textId="77777777" w:rsidR="005F605B" w:rsidRPr="005F605B" w:rsidRDefault="005F605B" w:rsidP="005F605B">
      <w:pPr>
        <w:rPr>
          <w:b/>
          <w:bCs/>
        </w:rPr>
      </w:pPr>
      <w:r w:rsidRPr="005F605B">
        <w:rPr>
          <w:b/>
          <w:bCs/>
        </w:rPr>
        <w:t>Risques Identifiés :</w:t>
      </w:r>
    </w:p>
    <w:p w14:paraId="188A0AFA" w14:textId="77777777" w:rsidR="005F605B" w:rsidRDefault="005F605B" w:rsidP="005F605B">
      <w:r>
        <w:tab/>
        <w:t>•</w:t>
      </w:r>
      <w:r>
        <w:tab/>
        <w:t>Réidentification possible des données anonymisées via le croisement avec d’autres bases de données.</w:t>
      </w:r>
    </w:p>
    <w:p w14:paraId="02D3CEFF" w14:textId="77777777" w:rsidR="005F605B" w:rsidRDefault="005F605B" w:rsidP="005F605B">
      <w:r>
        <w:tab/>
        <w:t>•</w:t>
      </w:r>
      <w:r>
        <w:tab/>
        <w:t>Utilisation abusive des données par des tiers.</w:t>
      </w:r>
    </w:p>
    <w:p w14:paraId="12B8CCA1" w14:textId="77777777" w:rsidR="005F605B" w:rsidRDefault="005F605B" w:rsidP="005F605B">
      <w:r>
        <w:tab/>
        <w:t>•</w:t>
      </w:r>
      <w:r>
        <w:tab/>
        <w:t>Perception négative des patients, affectant la confiance.</w:t>
      </w:r>
    </w:p>
    <w:p w14:paraId="568EF49C" w14:textId="77777777" w:rsidR="005F605B" w:rsidRDefault="005F605B" w:rsidP="005F605B">
      <w:r>
        <w:tab/>
        <w:t>•</w:t>
      </w:r>
      <w:r>
        <w:tab/>
        <w:t>Vulnérabilités face aux cyberattaques.</w:t>
      </w:r>
    </w:p>
    <w:p w14:paraId="454AF763" w14:textId="77777777" w:rsidR="005F605B" w:rsidRDefault="005F605B" w:rsidP="005F605B"/>
    <w:p w14:paraId="68016E53" w14:textId="77777777" w:rsidR="005F605B" w:rsidRPr="005F605B" w:rsidRDefault="005F605B" w:rsidP="005F605B">
      <w:pPr>
        <w:rPr>
          <w:b/>
          <w:bCs/>
        </w:rPr>
      </w:pPr>
      <w:r w:rsidRPr="005F605B">
        <w:rPr>
          <w:b/>
          <w:bCs/>
        </w:rPr>
        <w:t>Limites de l’Anonymisation :</w:t>
      </w:r>
    </w:p>
    <w:p w14:paraId="19F24C6F" w14:textId="77777777" w:rsidR="005F605B" w:rsidRDefault="005F605B" w:rsidP="005F605B">
      <w:r>
        <w:tab/>
        <w:t>•</w:t>
      </w:r>
      <w:r>
        <w:tab/>
        <w:t>Insuffisance face aux techniques modernes de réidentification.</w:t>
      </w:r>
    </w:p>
    <w:p w14:paraId="7F6AEF79" w14:textId="77777777" w:rsidR="005F605B" w:rsidRDefault="005F605B" w:rsidP="005F605B">
      <w:r>
        <w:tab/>
        <w:t>•</w:t>
      </w:r>
      <w:r>
        <w:tab/>
        <w:t>Perte de contrôle une fois les données partagées.</w:t>
      </w:r>
    </w:p>
    <w:p w14:paraId="4471FB27" w14:textId="77777777" w:rsidR="005F605B" w:rsidRDefault="005F605B" w:rsidP="005F605B">
      <w:r>
        <w:tab/>
        <w:t>•</w:t>
      </w:r>
      <w:r>
        <w:tab/>
        <w:t>Sensibilité contextuelle des informations même après anonymisation.</w:t>
      </w:r>
    </w:p>
    <w:p w14:paraId="63BCED4B" w14:textId="77777777" w:rsidR="005F605B" w:rsidRDefault="005F605B" w:rsidP="005F605B"/>
    <w:p w14:paraId="61E84630" w14:textId="77777777" w:rsidR="005F605B" w:rsidRPr="005F605B" w:rsidRDefault="005F605B" w:rsidP="005F605B">
      <w:pPr>
        <w:rPr>
          <w:b/>
          <w:bCs/>
        </w:rPr>
      </w:pPr>
      <w:r w:rsidRPr="005F605B">
        <w:rPr>
          <w:b/>
          <w:bCs/>
        </w:rPr>
        <w:t>Mesures Recommandées :</w:t>
      </w:r>
    </w:p>
    <w:p w14:paraId="26D98784" w14:textId="77777777" w:rsidR="005F605B" w:rsidRDefault="005F605B" w:rsidP="005F605B">
      <w:r>
        <w:tab/>
        <w:t>1.</w:t>
      </w:r>
      <w:r>
        <w:tab/>
        <w:t>Compléter l’anonymisation par la pseudonymisation.</w:t>
      </w:r>
    </w:p>
    <w:p w14:paraId="023091E6" w14:textId="77777777" w:rsidR="005F605B" w:rsidRDefault="005F605B" w:rsidP="005F605B">
      <w:r>
        <w:tab/>
        <w:t>2.</w:t>
      </w:r>
      <w:r>
        <w:tab/>
        <w:t>Mettre en place des accords contractuels stricts et auditer les tiers.</w:t>
      </w:r>
    </w:p>
    <w:p w14:paraId="1C59C7D9" w14:textId="77777777" w:rsidR="005F605B" w:rsidRDefault="005F605B" w:rsidP="005F605B">
      <w:r>
        <w:tab/>
        <w:t>3.</w:t>
      </w:r>
      <w:r>
        <w:tab/>
        <w:t>Utiliser des données synthétiques pour réduire les risques.</w:t>
      </w:r>
    </w:p>
    <w:p w14:paraId="3B549884" w14:textId="77777777" w:rsidR="005F605B" w:rsidRDefault="005F605B" w:rsidP="005F605B">
      <w:r>
        <w:tab/>
        <w:t>4.</w:t>
      </w:r>
      <w:r>
        <w:tab/>
        <w:t xml:space="preserve">Chiffrer les données et adopter une approche de </w:t>
      </w:r>
      <w:proofErr w:type="spellStart"/>
      <w:r>
        <w:t>Privacy</w:t>
      </w:r>
      <w:proofErr w:type="spellEnd"/>
      <w:r>
        <w:t xml:space="preserve"> by Design.</w:t>
      </w:r>
    </w:p>
    <w:p w14:paraId="376BD1C7" w14:textId="77777777" w:rsidR="005F605B" w:rsidRDefault="005F605B" w:rsidP="005F605B">
      <w:r>
        <w:tab/>
        <w:t>5.</w:t>
      </w:r>
      <w:r>
        <w:tab/>
        <w:t>Former les parties prenantes aux meilleures pratiques en matière de confidentialité.</w:t>
      </w:r>
    </w:p>
    <w:p w14:paraId="3E5B8042" w14:textId="77777777" w:rsidR="005F605B" w:rsidRDefault="005F605B" w:rsidP="005F605B"/>
    <w:p w14:paraId="7F255462" w14:textId="575429F5" w:rsidR="005F605B" w:rsidRDefault="005F605B" w:rsidP="005F605B">
      <w:r>
        <w:t xml:space="preserve">Conclusion : Une stratégie </w:t>
      </w:r>
      <w:proofErr w:type="spellStart"/>
      <w:r>
        <w:t>multi-couches</w:t>
      </w:r>
      <w:proofErr w:type="spellEnd"/>
      <w:r>
        <w:t xml:space="preserve"> est nécessaire pour protéger efficacement les données des patients tout en préservant la confiance et en respectant les cadres juridiques.</w:t>
      </w:r>
    </w:p>
    <w:sectPr w:rsidR="005F6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5B"/>
    <w:rsid w:val="005F605B"/>
    <w:rsid w:val="00C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B377"/>
  <w15:chartTrackingRefBased/>
  <w15:docId w15:val="{49B1CF89-7C80-405A-A951-4499A6FC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6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6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6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6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6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6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6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6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6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6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605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605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60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60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60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60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6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6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6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6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60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60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605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6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605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605B"/>
    <w:rPr>
      <w:b/>
      <w:bCs/>
      <w:smallCaps/>
      <w:color w:val="2F5496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5F60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60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60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60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6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 CARMA2</dc:creator>
  <cp:keywords/>
  <dc:description/>
  <cp:lastModifiedBy>CARMA CARMA2</cp:lastModifiedBy>
  <cp:revision>1</cp:revision>
  <dcterms:created xsi:type="dcterms:W3CDTF">2025-01-13T12:36:00Z</dcterms:created>
  <dcterms:modified xsi:type="dcterms:W3CDTF">2025-01-13T12:38:00Z</dcterms:modified>
</cp:coreProperties>
</file>