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360" w:lineRule="auto"/>
        <w:jc w:val="center"/>
      </w:pPr>
      <w:r>
        <w:rPr>
          <w:rFonts w:ascii="Cambria" w:cs="Cambria" w:eastAsia="Cambria" w:hAnsi="Cambria"/>
          <w:b/>
          <w:bCs/>
          <w:i w:val="false"/>
          <w:iCs w:val="false"/>
          <w:strike w:val="false"/>
          <w:color w:val="000000"/>
          <w:sz w:val="24"/>
          <w:szCs w:val="24"/>
        </w:rPr>
        <w:t xml:space="preserve">IN THE SUPREME COURT OF BRITISH COLUMBIA</w:t>
      </w:r>
    </w:p>
    <w:p>
      <w:pPr>
        <w:spacing w:after="60" w:before="60" w:line="360" w:lineRule="auto"/>
        <w:jc w:val="center"/>
      </w:pPr>
      <w:r>
        <w:rPr>
          <w:rFonts w:ascii="Cambria" w:cs="Cambria" w:eastAsia="Cambria" w:hAnsi="Cambria"/>
          <w:b/>
          <w:bCs/>
          <w:i w:val="false"/>
          <w:iCs w:val="false"/>
          <w:strike w:val="false"/>
          <w:color w:val="000000"/>
          <w:sz w:val="24"/>
          <w:szCs w:val="24"/>
        </w:rPr>
        <w:t xml:space="preserve">KAMLOOPS REGISTRY</w:t>
      </w:r>
    </w:p>
    <w:p>
      <w:pPr>
        <w:pBdr>
          <w:bottom w:val="single" w:color="000000" w:sz="6"/>
        </w:pBdr>
        <w:spacing w:after="240" w:before="240"/>
      </w:pPr>
    </w:p>
    <w:p>
      <w:pPr>
        <w:spacing w:after="240" w:line="360" w:lineRule="auto"/>
        <w:jc w:val="left"/>
      </w:pPr>
      <w:r>
        <w:rPr>
          <w:rFonts w:ascii="Cambria" w:cs="Cambria" w:eastAsia="Cambria" w:hAnsi="Cambria"/>
          <w:b w:val="false"/>
          <w:bCs w:val="false"/>
          <w:i w:val="false"/>
          <w:iCs w:val="false"/>
          <w:strike w:val="false"/>
          <w:color w:val="000000"/>
          <w:sz w:val="24"/>
          <w:szCs w:val="24"/>
        </w:rPr>
        <w:t xml:space="preserve">No.  KAM-S-S-065285</w:t>
      </w:r>
    </w:p>
    <w:p>
      <w:pPr>
        <w:spacing w:after="240" w:line="360" w:lineRule="auto"/>
        <w:jc w:val="center"/>
      </w:pPr>
      <w:r>
        <w:rPr>
          <w:rFonts w:ascii="Cambria" w:cs="Cambria" w:eastAsia="Cambria" w:hAnsi="Cambria"/>
          <w:b/>
          <w:bCs/>
          <w:i w:val="false"/>
          <w:iCs w:val="false"/>
          <w:strike w:val="false"/>
          <w:color w:val="000000"/>
          <w:sz w:val="24"/>
          <w:szCs w:val="24"/>
        </w:rPr>
        <w:t xml:space="preserve">BETWEEN:</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tcPr>
          <w:p>
            <w:r>
              <w:rPr>
                <w:rFonts w:ascii="Cambria" w:cs="Cambria" w:eastAsia="Cambria" w:hAnsi="Cambria"/>
                <w:b/>
                <w:bCs/>
                <w:i w:val="false"/>
                <w:iCs w:val="false"/>
                <w:strike w:val="false"/>
                <w:color w:val="000000"/>
                <w:sz w:val="24"/>
                <w:szCs w:val="24"/>
              </w:rPr>
              <w:t xml:space="preserve">DAN OWINGS</w:t>
            </w:r>
          </w:p>
        </w:tc>
        <w:tc>
          <w:tcPr>
            <w:tcW w:type="pct" w:w="50%"/>
          </w:tcPr>
          <w:p>
            <w:r>
              <w:rPr>
                <w:rFonts w:ascii="Cambria" w:cs="Cambria" w:eastAsia="Cambria" w:hAnsi="Cambria"/>
                <w:b w:val="false"/>
                <w:bCs w:val="false"/>
                <w:i w:val="false"/>
                <w:iCs w:val="false"/>
                <w:strike w:val="false"/>
                <w:color w:val="000000"/>
                <w:sz w:val="24"/>
                <w:szCs w:val="24"/>
              </w:rPr>
              <w:t xml:space="preserve">Petitioner</w:t>
            </w:r>
          </w:p>
        </w:tc>
      </w:tr>
    </w:tbl>
    <w:p>
      <w:pPr>
        <w:spacing w:after="200" w:before="0"/>
      </w:pPr>
    </w:p>
    <w:p>
      <w:pPr>
        <w:spacing w:after="120" w:before="60" w:line="360" w:lineRule="auto"/>
        <w:jc w:val="center"/>
      </w:pPr>
      <w:r>
        <w:rPr>
          <w:rFonts w:ascii="Cambria" w:cs="Cambria" w:eastAsia="Cambria" w:hAnsi="Cambria"/>
          <w:b w:val="false"/>
          <w:bCs w:val="false"/>
          <w:i w:val="false"/>
          <w:iCs w:val="false"/>
          <w:strike w:val="false"/>
          <w:color w:val="000000"/>
          <w:sz w:val="24"/>
          <w:szCs w:val="24"/>
        </w:rPr>
        <w:t xml:space="preserve">AND</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0%"/>
          </w:tcPr>
          <w:p>
            <w:r>
              <w:rPr>
                <w:rFonts w:ascii="Cambria" w:cs="Cambria" w:eastAsia="Cambria" w:hAnsi="Cambria"/>
                <w:b/>
                <w:bCs/>
                <w:i w:val="false"/>
                <w:iCs w:val="false"/>
                <w:strike w:val="false"/>
                <w:color w:val="000000"/>
                <w:sz w:val="24"/>
                <w:szCs w:val="24"/>
              </w:rPr>
              <w:t xml:space="preserve">GURMAIL SINGH SANGHERA</w:t>
            </w:r>
            <w:r>
              <w:rPr>
                <w:rFonts w:ascii="Cambria" w:cs="Cambria" w:eastAsia="Cambria" w:hAnsi="Cambria"/>
                <w:b/>
                <w:bCs/>
                <w:i w:val="false"/>
                <w:iCs w:val="false"/>
                <w:color w:val="000000"/>
                <w:sz w:val="24"/>
                <w:szCs w:val="24"/>
              </w:rPr>
              <w:t xml:space="preserve">
</w:t>
            </w:r>
            <w:r>
              <w:rPr>
                <w:rFonts w:ascii="Cambria" w:cs="Cambria" w:eastAsia="Cambria" w:hAnsi="Cambria"/>
                <w:b/>
                <w:bCs/>
                <w:i w:val="false"/>
                <w:iCs w:val="false"/>
                <w:strike w:val="false"/>
                <w:color w:val="000000"/>
                <w:sz w:val="24"/>
                <w:szCs w:val="24"/>
              </w:rPr>
              <w:t xml:space="preserve"> and</w:t>
            </w:r>
            <w:r>
              <w:rPr>
                <w:rFonts w:ascii="Cambria" w:cs="Cambria" w:eastAsia="Cambria" w:hAnsi="Cambria"/>
                <w:b/>
                <w:bCs/>
                <w:i w:val="false"/>
                <w:iCs w:val="false"/>
                <w:color w:val="000000"/>
                <w:sz w:val="24"/>
                <w:szCs w:val="24"/>
              </w:rPr>
              <w:t xml:space="preserve">
</w:t>
            </w:r>
            <w:r>
              <w:rPr>
                <w:rFonts w:ascii="Cambria" w:cs="Cambria" w:eastAsia="Cambria" w:hAnsi="Cambria"/>
                <w:b/>
                <w:bCs/>
                <w:i w:val="false"/>
                <w:iCs w:val="false"/>
                <w:strike w:val="false"/>
                <w:color w:val="000000"/>
                <w:sz w:val="24"/>
                <w:szCs w:val="24"/>
              </w:rPr>
              <w:t xml:space="preserve"> DIRECTOR, RESIDENTIAL TENANCY BRANCH</w:t>
            </w:r>
          </w:p>
        </w:tc>
        <w:tc>
          <w:tcPr>
            <w:tcW w:type="pct" w:w="20%"/>
          </w:tcPr>
          <w:p>
            <w:r>
              <w:rPr>
                <w:rFonts w:ascii="Cambria" w:cs="Cambria" w:eastAsia="Cambria" w:hAnsi="Cambria"/>
                <w:b w:val="false"/>
                <w:bCs w:val="false"/>
                <w:i w:val="false"/>
                <w:iCs w:val="false"/>
                <w:strike w:val="false"/>
                <w:color w:val="000000"/>
                <w:sz w:val="24"/>
                <w:szCs w:val="24"/>
              </w:rPr>
              <w:t xml:space="preserve">Respondents</w:t>
            </w:r>
          </w:p>
        </w:tc>
      </w:tr>
    </w:tbl>
    <w:p>
      <w:pPr>
        <w:spacing w:after="200" w:before="0"/>
      </w:pPr>
    </w:p>
    <w:p>
      <w:pPr>
        <w:pBdr>
          <w:bottom w:val="single" w:color="000000" w:sz="6"/>
        </w:pBdr>
        <w:spacing w:after="240" w:before="240"/>
      </w:pPr>
    </w:p>
    <w:p>
      <w:pPr>
        <w:spacing w:after="120" w:before="60" w:line="360" w:lineRule="auto"/>
        <w:jc w:val="center"/>
      </w:pPr>
      <w:r>
        <w:rPr>
          <w:rFonts w:ascii="Cambria" w:cs="Cambria" w:eastAsia="Cambria" w:hAnsi="Cambria"/>
          <w:b/>
          <w:bCs/>
          <w:i w:val="false"/>
          <w:iCs w:val="false"/>
          <w:strike w:val="false"/>
          <w:color w:val="000000"/>
          <w:sz w:val="24"/>
          <w:szCs w:val="24"/>
        </w:rPr>
        <w:t xml:space="preserve">NOTICE OF APPLICATION</w:t>
      </w:r>
    </w:p>
    <w:p>
      <w:pPr>
        <w:spacing w:after="120" w:before="60" w:line="360" w:lineRule="auto"/>
        <w:jc w:val="center"/>
      </w:pPr>
      <w:r>
        <w:rPr>
          <w:rFonts w:ascii="Cambria" w:cs="Cambria" w:eastAsia="Cambria" w:hAnsi="Cambria"/>
          <w:b/>
          <w:bCs/>
          <w:i w:val="false"/>
          <w:iCs w:val="false"/>
          <w:strike w:val="false"/>
          <w:color w:val="000000"/>
          <w:sz w:val="24"/>
          <w:szCs w:val="24"/>
        </w:rPr>
        <w:t xml:space="preserve">(Judicial Review — Rule 16-1)</w:t>
      </w:r>
    </w:p>
    <w:p>
      <w:pPr>
        <w:pBdr>
          <w:bottom w:val="single" w:color="000000" w:sz="6"/>
        </w:pBdr>
        <w:spacing w:after="240" w:before="240"/>
      </w:pPr>
    </w:p>
    <w:p>
      <w:pPr>
        <w:spacing w:after="60" w:before="60" w:line="360" w:lineRule="auto"/>
        <w:jc w:val="left"/>
      </w:pPr>
      <w:r>
        <w:rPr>
          <w:rFonts w:ascii="Cambria" w:cs="Cambria" w:eastAsia="Cambria" w:hAnsi="Cambria"/>
          <w:b/>
          <w:bCs/>
          <w:i w:val="false"/>
          <w:iCs w:val="false"/>
          <w:strike w:val="false"/>
          <w:color w:val="000000"/>
          <w:sz w:val="24"/>
          <w:szCs w:val="24"/>
        </w:rPr>
        <w:t xml:space="preserve">TO:</w:t>
      </w:r>
      <w:r>
        <w:rPr>
          <w:rFonts w:ascii="Cambria" w:cs="Cambria" w:eastAsia="Cambria" w:hAnsi="Cambria"/>
          <w:b w:val="false"/>
          <w:bCs w:val="false"/>
          <w:i w:val="false"/>
          <w:iCs w:val="false"/>
          <w:strike w:val="false"/>
          <w:color w:val="000000"/>
          <w:sz w:val="24"/>
          <w:szCs w:val="24"/>
        </w:rPr>
        <w:t xml:space="preserve">  GURMAIL SINGH SANGHERA, </w:t>
      </w:r>
      <w:r>
        <w:rPr>
          <w:rFonts w:ascii="Cambria" w:cs="Cambria" w:eastAsia="Cambria" w:hAnsi="Cambria"/>
          <w:b/>
          <w:bCs/>
          <w:i/>
          <w:iCs/>
          <w:strike w:val="false"/>
          <w:color w:val="000000"/>
          <w:sz w:val="24"/>
          <w:szCs w:val="24"/>
        </w:rPr>
        <w:t xml:space="preserve">[PENDING — Respondent’s Address]</w:t>
      </w:r>
    </w:p>
    <w:p>
      <w:pPr>
        <w:spacing w:after="60" w:before="60" w:line="360" w:lineRule="auto"/>
        <w:jc w:val="left"/>
      </w:pPr>
      <w:r>
        <w:rPr>
          <w:rFonts w:ascii="Cambria" w:cs="Cambria" w:eastAsia="Cambria" w:hAnsi="Cambria"/>
          <w:b/>
          <w:bCs/>
          <w:i w:val="false"/>
          <w:iCs w:val="false"/>
          <w:strike w:val="false"/>
          <w:color w:val="000000"/>
          <w:sz w:val="24"/>
          <w:szCs w:val="24"/>
        </w:rPr>
        <w:t xml:space="preserve">TO:</w:t>
      </w:r>
      <w:r>
        <w:rPr>
          <w:rFonts w:ascii="Cambria" w:cs="Cambria" w:eastAsia="Cambria" w:hAnsi="Cambria"/>
          <w:b w:val="false"/>
          <w:bCs w:val="false"/>
          <w:i w:val="false"/>
          <w:iCs w:val="false"/>
          <w:strike w:val="false"/>
          <w:color w:val="000000"/>
          <w:sz w:val="24"/>
          <w:szCs w:val="24"/>
        </w:rPr>
        <w:t xml:space="preserve">  DIRECTOR, RESIDENTIAL TENANCY BRANCH, Residential Tenancy Branch, P.O. Box 9844 Prov Govt, Victoria, BC V8W 9T2</w:t>
      </w:r>
    </w:p>
    <w:p>
      <w:pPr>
        <w:pBdr>
          <w:bottom w:val="single" w:color="000000" w:sz="6"/>
        </w:pBdr>
        <w:spacing w:after="240" w:before="240"/>
      </w:pPr>
    </w:p>
    <w:p>
      <w:pPr>
        <w:spacing w:after="240" w:line="360" w:lineRule="auto"/>
        <w:jc w:val="left"/>
      </w:pPr>
      <w:r>
        <w:rPr>
          <w:rFonts w:ascii="Cambria" w:cs="Cambria" w:eastAsia="Cambria" w:hAnsi="Cambria"/>
          <w:b/>
          <w:bCs/>
          <w:i/>
          <w:iCs/>
          <w:strike w:val="false"/>
          <w:color w:val="000000"/>
          <w:sz w:val="24"/>
          <w:szCs w:val="24"/>
        </w:rPr>
        <w:t xml:space="preserve">A LEGAL PROCEEDING HAS BEEN COMMENCED by the Petitioner. The claim made by the Petitioner appears on the following pages.</w:t>
      </w:r>
    </w:p>
    <w:p>
      <w:pPr>
        <w:pBdr>
          <w:bottom w:val="single" w:color="000000" w:sz="6"/>
        </w:pBdr>
        <w:spacing w:after="240" w:before="240"/>
      </w:pPr>
    </w:p>
    <w:p>
      <w:pPr>
        <w:pStyle w:val="Heading2"/>
        <w:spacing w:after="120" w:before="360" w:line="360" w:lineRule="auto"/>
        <w:jc w:val="center"/>
      </w:pPr>
      <w:r>
        <w:rPr>
          <w:rFonts w:ascii="Cambria" w:cs="Cambria" w:eastAsia="Cambria" w:hAnsi="Cambria"/>
          <w:color w:val="000000"/>
          <w:sz w:val="24"/>
          <w:szCs w:val="24"/>
        </w:rPr>
        <w:t xml:space="preserve">NATURE OF PROCEEDING</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1.  This is an application for judicial review of a decision of the Residential Tenancy Branch (RTB), File No. 910-222-034, dated </w:t>
      </w:r>
      <w:r>
        <w:rPr>
          <w:rFonts w:ascii="Cambria" w:cs="Cambria" w:eastAsia="Cambria" w:hAnsi="Cambria"/>
          <w:b/>
          <w:bCs/>
          <w:i/>
          <w:iCs/>
          <w:strike w:val="false"/>
          <w:color w:val="000000"/>
          <w:sz w:val="24"/>
          <w:szCs w:val="24"/>
        </w:rPr>
        <w:t xml:space="preserve">[PENDING — RTB Decision Date]</w:t>
      </w:r>
      <w:r>
        <w:rPr>
          <w:rFonts w:ascii="Cambria" w:cs="Cambria" w:eastAsia="Cambria" w:hAnsi="Cambria"/>
          <w:b w:val="false"/>
          <w:bCs w:val="false"/>
          <w:i w:val="false"/>
          <w:iCs w:val="false"/>
          <w:strike w:val="false"/>
          <w:color w:val="000000"/>
          <w:sz w:val="24"/>
          <w:szCs w:val="24"/>
        </w:rPr>
        <w:t xml:space="preserve"> (the “RTB Decision”).</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2.  The RTB Decision ordered the termination of the Petitioner’s residential tenancy at 990 13th Street, Kamloops, British Columbia, and granted vacant possession to the First Respondent.</w:t>
      </w:r>
    </w:p>
    <w:p>
      <w:pPr>
        <w:pBdr>
          <w:bottom w:val="single" w:color="000000" w:sz="6"/>
        </w:pBdr>
        <w:spacing w:after="240" w:before="240"/>
      </w:pPr>
    </w:p>
    <w:p>
      <w:pPr>
        <w:pStyle w:val="Heading2"/>
        <w:spacing w:after="120" w:before="360" w:line="360" w:lineRule="auto"/>
        <w:jc w:val="center"/>
      </w:pPr>
      <w:r>
        <w:rPr>
          <w:rFonts w:ascii="Cambria" w:cs="Cambria" w:eastAsia="Cambria" w:hAnsi="Cambria"/>
          <w:color w:val="000000"/>
          <w:sz w:val="24"/>
          <w:szCs w:val="24"/>
        </w:rPr>
        <w:t xml:space="preserve">RELIEF SOUGHT</w:t>
      </w:r>
    </w:p>
    <w:p>
      <w:pPr>
        <w:spacing w:after="120" w:before="60" w:line="360" w:lineRule="auto"/>
        <w:jc w:val="left"/>
      </w:pPr>
      <w:r>
        <w:rPr>
          <w:rFonts w:ascii="Cambria" w:cs="Cambria" w:eastAsia="Cambria" w:hAnsi="Cambria"/>
          <w:b w:val="false"/>
          <w:bCs w:val="false"/>
          <w:i w:val="false"/>
          <w:iCs w:val="false"/>
          <w:strike w:val="false"/>
          <w:color w:val="000000"/>
          <w:sz w:val="24"/>
          <w:szCs w:val="24"/>
        </w:rPr>
        <w:t xml:space="preserve">The Petitioner seeks the following relief:</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  An order in the nature of </w:t>
      </w:r>
      <w:r>
        <w:rPr>
          <w:rFonts w:ascii="Cambria" w:cs="Cambria" w:eastAsia="Cambria" w:hAnsi="Cambria"/>
          <w:b w:val="false"/>
          <w:bCs w:val="false"/>
          <w:i/>
          <w:iCs/>
          <w:strike w:val="false"/>
          <w:color w:val="000000"/>
          <w:sz w:val="24"/>
          <w:szCs w:val="24"/>
        </w:rPr>
        <w:t xml:space="preserve">certiorari</w:t>
      </w:r>
      <w:r>
        <w:rPr>
          <w:rFonts w:ascii="Cambria" w:cs="Cambria" w:eastAsia="Cambria" w:hAnsi="Cambria"/>
          <w:b w:val="false"/>
          <w:bCs w:val="false"/>
          <w:i w:val="false"/>
          <w:iCs w:val="false"/>
          <w:strike w:val="false"/>
          <w:color w:val="000000"/>
          <w:sz w:val="24"/>
          <w:szCs w:val="24"/>
        </w:rPr>
        <w:t xml:space="preserve"> quashing and setting aside the RTB Decision, File No. 910-222-034, dated </w:t>
      </w:r>
      <w:r>
        <w:rPr>
          <w:rFonts w:ascii="Cambria" w:cs="Cambria" w:eastAsia="Cambria" w:hAnsi="Cambria"/>
          <w:b/>
          <w:bCs/>
          <w:i/>
          <w:iCs/>
          <w:strike w:val="false"/>
          <w:color w:val="000000"/>
          <w:sz w:val="24"/>
          <w:szCs w:val="24"/>
        </w:rPr>
        <w:t xml:space="preserve">[PENDING — RTB Decision Date]</w:t>
      </w:r>
      <w:r>
        <w:rPr>
          <w:rFonts w:ascii="Cambria" w:cs="Cambria" w:eastAsia="Cambria" w:hAnsi="Cambr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(b)  An order remitting the matter to the Residential Tenancy Branch for reconsideration before a different arbitrator in accordance with the requirements of procedural fairness;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  An order staying the RTB Decision, including any order for vacant possession, pending the final determination of this application;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(d)  Costs of and incidental to this proceeding; and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(e)  Such further and other relief as this Honourable Court may deem just.</w:t>
      </w:r>
    </w:p>
    <w:p>
      <w:pPr>
        <w:pBdr>
          <w:bottom w:val="single" w:color="000000" w:sz="6"/>
        </w:pBdr>
        <w:spacing w:after="240" w:before="240"/>
      </w:pPr>
    </w:p>
    <w:p>
      <w:pPr>
        <w:pStyle w:val="Heading2"/>
        <w:spacing w:after="120" w:before="360" w:line="360" w:lineRule="auto"/>
        <w:jc w:val="center"/>
      </w:pPr>
      <w:r>
        <w:rPr>
          <w:rFonts w:ascii="Cambria" w:cs="Cambria" w:eastAsia="Cambria" w:hAnsi="Cambria"/>
          <w:color w:val="000000"/>
          <w:sz w:val="24"/>
          <w:szCs w:val="24"/>
        </w:rPr>
        <w:t xml:space="preserve">GROUNDS FOR THE ORDER SOUGHT</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3.  The RTB arbitrator (Arbitrator Wang, RTB File No. 910-222-034, hearing date December 18, 2025) committed a fundamental breach of procedural fairness by granting an amendment to the address/unit number in the Application for Dispute Resolution before the Petitioner had joined the telephone hearing. The amendment — changing the address from “990A 13th Street” to “990 13th Street” — was granted at [04:27] of the recording on the basis of an unsworn assertion by Ms. Sukhbinder Sanghera, the landlord’s daughter and authorized agent, who had not yet been sworn. The Petitioner did not join the hearing until [05:02], a gap of 1 minute and 46 seconds after the address issue was first raised at [03:16].</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4.  The address amendment constituted a foundational determination defining the tenancy unit to which the evidentiary allegations and ultimate findings would attach. The arbitrator resolved that issue before the Petitioner joined the hearing and without affording the Petitioner any meaningful opportunity to respond. The amendment was granted at recording timestamp [04:27], approximately one minute and forty-six seconds before the Petitioner joined the hearing at [05:02], as reflected in the RTB audio recording and transcript of the December 18, 2025 hearing.</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5.  When the Petitioner subsequently joined the hearing, the arbitrator did not inform him that the amendment had been granted, did not invite submissions on the amendment, and did not revisit the threshold question.</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6.  The proceeding was thereafter conducted entirely on the basis of the amended address, without the Petitioner having been heard on the foundational issue.</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7.  This constitutes an </w:t>
      </w:r>
      <w:r>
        <w:rPr>
          <w:rFonts w:ascii="Cambria" w:cs="Cambria" w:eastAsia="Cambria" w:hAnsi="Cambria"/>
          <w:b w:val="false"/>
          <w:bCs w:val="false"/>
          <w:i/>
          <w:iCs/>
          <w:strike w:val="false"/>
          <w:color w:val="000000"/>
          <w:sz w:val="24"/>
          <w:szCs w:val="24"/>
        </w:rPr>
        <w:t xml:space="preserve">ex parte</w:t>
      </w:r>
      <w:r>
        <w:rPr>
          <w:rFonts w:ascii="Cambria" w:cs="Cambria" w:eastAsia="Cambria" w:hAnsi="Cambria"/>
          <w:b w:val="false"/>
          <w:bCs w:val="false"/>
          <w:i w:val="false"/>
          <w:iCs w:val="false"/>
          <w:strike w:val="false"/>
          <w:color w:val="000000"/>
          <w:sz w:val="24"/>
          <w:szCs w:val="24"/>
        </w:rPr>
        <w:t xml:space="preserve"> determination of a material issue contrary to the </w:t>
      </w:r>
      <w:r>
        <w:rPr>
          <w:rFonts w:ascii="Cambria" w:cs="Cambria" w:eastAsia="Cambria" w:hAnsi="Cambria"/>
          <w:b w:val="false"/>
          <w:bCs w:val="false"/>
          <w:i/>
          <w:iCs/>
          <w:strike w:val="false"/>
          <w:color w:val="000000"/>
          <w:sz w:val="24"/>
          <w:szCs w:val="24"/>
        </w:rPr>
        <w:t xml:space="preserve">audi alteram partem</w:t>
      </w:r>
      <w:r>
        <w:rPr>
          <w:rFonts w:ascii="Cambria" w:cs="Cambria" w:eastAsia="Cambria" w:hAnsi="Cambria"/>
          <w:b w:val="false"/>
          <w:bCs w:val="false"/>
          <w:i w:val="false"/>
          <w:iCs w:val="false"/>
          <w:strike w:val="false"/>
          <w:color w:val="000000"/>
          <w:sz w:val="24"/>
          <w:szCs w:val="24"/>
        </w:rPr>
        <w:t xml:space="preserve"> rule and the requirements of procedural fairness established in </w:t>
      </w:r>
      <w:r>
        <w:rPr>
          <w:rFonts w:ascii="Cambria" w:cs="Cambria" w:eastAsia="Cambria" w:hAnsi="Cambria"/>
          <w:b w:val="false"/>
          <w:bCs w:val="false"/>
          <w:i/>
          <w:iCs/>
          <w:strike w:val="false"/>
          <w:color w:val="000000"/>
          <w:sz w:val="24"/>
          <w:szCs w:val="24"/>
        </w:rPr>
        <w:t xml:space="preserve">Baker v Canada (Minister of Citizenship and Immigration)</w:t>
      </w:r>
      <w:r>
        <w:rPr>
          <w:rFonts w:ascii="Cambria" w:cs="Cambria" w:eastAsia="Cambria" w:hAnsi="Cambria"/>
          <w:b w:val="false"/>
          <w:bCs w:val="false"/>
          <w:i w:val="false"/>
          <w:iCs w:val="false"/>
          <w:strike w:val="false"/>
          <w:color w:val="000000"/>
          <w:sz w:val="24"/>
          <w:szCs w:val="24"/>
        </w:rPr>
        <w:t xml:space="preserve">, [1999] 2 SCR 817.</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8.  Questions of procedural fairness are determined by the reviewing court without deference to the tribunal: </w:t>
      </w:r>
      <w:r>
        <w:rPr>
          <w:rFonts w:ascii="Cambria" w:cs="Cambria" w:eastAsia="Cambria" w:hAnsi="Cambria"/>
          <w:b w:val="false"/>
          <w:bCs w:val="false"/>
          <w:i/>
          <w:iCs/>
          <w:strike w:val="false"/>
          <w:color w:val="000000"/>
          <w:sz w:val="24"/>
          <w:szCs w:val="24"/>
        </w:rPr>
        <w:t xml:space="preserve">Canada (Minister of Citizenship and Immigration) v Vavilov</w:t>
      </w:r>
      <w:r>
        <w:rPr>
          <w:rFonts w:ascii="Cambria" w:cs="Cambria" w:eastAsia="Cambria" w:hAnsi="Cambria"/>
          <w:b w:val="false"/>
          <w:bCs w:val="false"/>
          <w:i w:val="false"/>
          <w:iCs w:val="false"/>
          <w:strike w:val="false"/>
          <w:color w:val="000000"/>
          <w:sz w:val="24"/>
          <w:szCs w:val="24"/>
        </w:rPr>
        <w:t xml:space="preserve">, 2019 SCC 65, para 23.</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9.  Under the </w:t>
      </w:r>
      <w:r>
        <w:rPr>
          <w:rFonts w:ascii="Cambria" w:cs="Cambria" w:eastAsia="Cambria" w:hAnsi="Cambria"/>
          <w:b w:val="false"/>
          <w:bCs w:val="false"/>
          <w:i/>
          <w:iCs/>
          <w:strike w:val="false"/>
          <w:color w:val="000000"/>
          <w:sz w:val="24"/>
          <w:szCs w:val="24"/>
        </w:rPr>
        <w:t xml:space="preserve">Baker</w:t>
      </w:r>
      <w:r>
        <w:rPr>
          <w:rFonts w:ascii="Cambria" w:cs="Cambria" w:eastAsia="Cambria" w:hAnsi="Cambria"/>
          <w:b w:val="false"/>
          <w:bCs w:val="false"/>
          <w:i w:val="false"/>
          <w:iCs w:val="false"/>
          <w:strike w:val="false"/>
          <w:color w:val="000000"/>
          <w:sz w:val="24"/>
          <w:szCs w:val="24"/>
        </w:rPr>
        <w:t xml:space="preserve"> factors, the Petitioner was owed a high degree of procedural fairness proportionate to the seriousness of the interests at stake, having regard to: (i) the grave consequence of loss of his home; (ii) the remedial purpose of the </w:t>
      </w:r>
      <w:r>
        <w:rPr>
          <w:rFonts w:ascii="Cambria" w:cs="Cambria" w:eastAsia="Cambria" w:hAnsi="Cambria"/>
          <w:b w:val="false"/>
          <w:bCs w:val="false"/>
          <w:i/>
          <w:iCs/>
          <w:strike w:val="false"/>
          <w:color w:val="000000"/>
          <w:sz w:val="24"/>
          <w:szCs w:val="24"/>
        </w:rPr>
        <w:t xml:space="preserve">Residential Tenancy Act</w:t>
      </w:r>
      <w:r>
        <w:rPr>
          <w:rFonts w:ascii="Cambria" w:cs="Cambria" w:eastAsia="Cambria" w:hAnsi="Cambria"/>
          <w:b w:val="false"/>
          <w:bCs w:val="false"/>
          <w:i w:val="false"/>
          <w:iCs w:val="false"/>
          <w:strike w:val="false"/>
          <w:color w:val="000000"/>
          <w:sz w:val="24"/>
          <w:szCs w:val="24"/>
        </w:rPr>
        <w:t xml:space="preserve">, SBC 2002, c 78; (iii) the Petitioner’s legitimate expectation of participation before material determinations affecting his tenancy rights were made; and (iv) the availability of alternative, fair procedures to the arbitrator.</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10.  Where a material procedural fairness breach is established, the resulting prejudice may arise from the denial of meaningful participation itself: </w:t>
      </w:r>
      <w:r>
        <w:rPr>
          <w:rFonts w:ascii="Cambria" w:cs="Cambria" w:eastAsia="Cambria" w:hAnsi="Cambria"/>
          <w:b w:val="false"/>
          <w:bCs w:val="false"/>
          <w:i/>
          <w:iCs/>
          <w:strike w:val="false"/>
          <w:color w:val="000000"/>
          <w:sz w:val="24"/>
          <w:szCs w:val="24"/>
        </w:rPr>
        <w:t xml:space="preserve">Newfoundland Telephone Co v Newfoundland (Board of Commissioners of Public Utilities)</w:t>
      </w:r>
      <w:r>
        <w:rPr>
          <w:rFonts w:ascii="Cambria" w:cs="Cambria" w:eastAsia="Cambria" w:hAnsi="Cambria"/>
          <w:b w:val="false"/>
          <w:bCs w:val="false"/>
          <w:i w:val="false"/>
          <w:iCs w:val="false"/>
          <w:strike w:val="false"/>
          <w:color w:val="000000"/>
          <w:sz w:val="24"/>
          <w:szCs w:val="24"/>
        </w:rPr>
        <w:t xml:space="preserve">, [1992] 1 SCR 623.</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11.  The Petitioner did not waive his right to participate in the address amendment determination. No waiver can be implied where the party had no knowledge that the determination was being made: </w:t>
      </w:r>
      <w:r>
        <w:rPr>
          <w:rFonts w:ascii="Cambria" w:cs="Cambria" w:eastAsia="Cambria" w:hAnsi="Cambria"/>
          <w:b w:val="false"/>
          <w:bCs w:val="false"/>
          <w:i/>
          <w:iCs/>
          <w:strike w:val="false"/>
          <w:color w:val="000000"/>
          <w:sz w:val="24"/>
          <w:szCs w:val="24"/>
        </w:rPr>
        <w:t xml:space="preserve">Harelkin v University of Regina</w:t>
      </w:r>
      <w:r>
        <w:rPr>
          <w:rFonts w:ascii="Cambria" w:cs="Cambria" w:eastAsia="Cambria" w:hAnsi="Cambria"/>
          <w:b w:val="false"/>
          <w:bCs w:val="false"/>
          <w:i w:val="false"/>
          <w:iCs w:val="false"/>
          <w:strike w:val="false"/>
          <w:color w:val="000000"/>
          <w:sz w:val="24"/>
          <w:szCs w:val="24"/>
        </w:rPr>
        <w:t xml:space="preserve">, [1979] 2 SCR 561. The Petitioner was not on the call when the amendment was raised, considered, or granted. He could not have waived a right of which he was necessarily ignorant.</w:t>
      </w:r>
    </w:p>
    <w:p>
      <w:pPr>
        <w:pBdr>
          <w:bottom w:val="single" w:color="000000" w:sz="6"/>
        </w:pBdr>
        <w:spacing w:after="240" w:before="240"/>
      </w:pPr>
    </w:p>
    <w:p>
      <w:pPr>
        <w:pStyle w:val="Heading2"/>
        <w:spacing w:after="120" w:before="360" w:line="360" w:lineRule="auto"/>
        <w:jc w:val="center"/>
      </w:pPr>
      <w:r>
        <w:rPr>
          <w:rFonts w:ascii="Cambria" w:cs="Cambria" w:eastAsia="Cambria" w:hAnsi="Cambria"/>
          <w:color w:val="000000"/>
          <w:sz w:val="24"/>
          <w:szCs w:val="24"/>
        </w:rPr>
        <w:t xml:space="preserve">MULTIPLE TENANTS AND ATTRIBUTION ERROR</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12.  The property at 990 13th Street, Kamloops is a duplex. The First Respondent’s representative, Ms. Sukhbinder Sanghera, confirmed this layout at recording timestamp [04:05], describing it as follows: “It’s a duplex. There used to be a back — a third unit. And Mr. Owings occupies the 990 address, which is one side of the duplex.” The other side of the duplex is a separate, independently addressed unit at the same property.</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13.  The property at 990 13th Street, Kamloops is a duplex. The other side of the duplex is 988 13th Street, occupied by a separate tenant. The Petitioner’s unit was designated as 990A 13th Street to identify his specific side of the duplex. This was confirmed during the hearing at recording timestamp [04:05], when Ms. Sanghera described the layout: “It’s a duplex. There used to be a back — a third unit. And Mr. Owings occupies the 990 address, which is one side of the duplex.”</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14.  The distinction between 990A (the Petitioner’s unit) and 990 (the property address encompassing the whole duplex) is material and not merely administrative. During the hearing, the First Respondent’s counsel introduced a City of Kamloops fine dated September 30, 2025, which listed BOTH 988 AND 990 13th Street — confirming that the City itself treats the two units as separate addressable properties when allocating liability, and that issues at one unit are not automatically attributable to the other. By amending the address from 990A 13th Street to 990 13th Street, the arbitrator removed the unit-specific identifier and thereby enabled the attribution of allegations relating to the whole property to the Petitioner’s unit without any finding that the conduct at issue originated in, or was caused by, the Petitioner or his specific unit.</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15.  At recording timestamp [47:39], Ms. Sanghera referred to “the other tenant” at the property, stating: “And the only thing about the other tenant — if I know you’re talking about being on a limited income, but the other tenant — why are they not helping with the rent and these expenses then?” This confirms that multiple persons occupy the property and that Ms. Sanghera herself distinguished between the Petitioner and another occupant when making financial attributions.</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16.  The amendment of the address from the unit-specific identifier (990A) to the property-level address (990) removed the analytical mechanism by which the arbitrator could have assessed whether any alleged breach was attributable to the Petitioner’s unit specifically. This is not a technical objection. It goes to the foundation of the evidentiary inquiry and the reliability of any finding made on the basis of the amended address.</w:t>
      </w:r>
    </w:p>
    <w:p>
      <w:pPr>
        <w:pBdr>
          <w:bottom w:val="single" w:color="000000" w:sz="6"/>
        </w:pBdr>
        <w:spacing w:after="240" w:before="240"/>
      </w:pPr>
    </w:p>
    <w:p>
      <w:pPr>
        <w:pStyle w:val="Heading2"/>
        <w:spacing w:after="120" w:before="360" w:line="360" w:lineRule="auto"/>
        <w:jc w:val="center"/>
      </w:pPr>
      <w:r>
        <w:rPr>
          <w:rFonts w:ascii="Cambria" w:cs="Cambria" w:eastAsia="Cambria" w:hAnsi="Cambria"/>
          <w:color w:val="000000"/>
          <w:sz w:val="24"/>
          <w:szCs w:val="24"/>
        </w:rPr>
        <w:t xml:space="preserve">FAILURE TO ADDRESS PRIOR RTB PROCEEDINGS</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17.  A prior RTB decision was made in or about 2019, RTB File No. </w:t>
      </w:r>
      <w:r>
        <w:rPr>
          <w:rFonts w:ascii="Cambria" w:cs="Cambria" w:eastAsia="Cambria" w:hAnsi="Cambria"/>
          <w:b/>
          <w:bCs/>
          <w:i/>
          <w:iCs/>
          <w:strike w:val="false"/>
          <w:color w:val="000000"/>
          <w:sz w:val="24"/>
          <w:szCs w:val="24"/>
        </w:rPr>
        <w:t xml:space="preserve">[PENDING — 2019 RTB File No.]</w:t>
      </w:r>
      <w:r>
        <w:rPr>
          <w:rFonts w:ascii="Cambria" w:cs="Cambria" w:eastAsia="Cambria" w:hAnsi="Cambria"/>
          <w:b w:val="false"/>
          <w:bCs w:val="false"/>
          <w:i w:val="false"/>
          <w:iCs w:val="false"/>
          <w:strike w:val="false"/>
          <w:color w:val="000000"/>
          <w:sz w:val="24"/>
          <w:szCs w:val="24"/>
        </w:rPr>
        <w:t xml:space="preserve">, dated </w:t>
      </w:r>
      <w:r>
        <w:rPr>
          <w:rFonts w:ascii="Cambria" w:cs="Cambria" w:eastAsia="Cambria" w:hAnsi="Cambria"/>
          <w:b/>
          <w:bCs/>
          <w:i/>
          <w:iCs/>
          <w:strike w:val="false"/>
          <w:color w:val="000000"/>
          <w:sz w:val="24"/>
          <w:szCs w:val="24"/>
        </w:rPr>
        <w:t xml:space="preserve">[PENDING — 2019 RTB Decision Date]</w:t>
      </w:r>
      <w:r>
        <w:rPr>
          <w:rFonts w:ascii="Cambria" w:cs="Cambria" w:eastAsia="Cambria" w:hAnsi="Cambria"/>
          <w:b w:val="false"/>
          <w:bCs w:val="false"/>
          <w:i w:val="false"/>
          <w:iCs w:val="false"/>
          <w:strike w:val="false"/>
          <w:color w:val="000000"/>
          <w:sz w:val="24"/>
          <w:szCs w:val="24"/>
        </w:rPr>
        <w:t xml:space="preserve"> (the “2019 RTB Decision”). The 2019 RTB Decision addressed: </w:t>
      </w:r>
      <w:r>
        <w:rPr>
          <w:rFonts w:ascii="Cambria" w:cs="Cambria" w:eastAsia="Cambria" w:hAnsi="Cambria"/>
          <w:b/>
          <w:bCs/>
          <w:i/>
          <w:iCs/>
          <w:strike w:val="false"/>
          <w:color w:val="000000"/>
          <w:sz w:val="24"/>
          <w:szCs w:val="24"/>
        </w:rPr>
        <w:t xml:space="preserve">[PENDING — description of 2019 RTB decision holdings]</w:t>
      </w:r>
      <w:r>
        <w:rPr>
          <w:rFonts w:ascii="Cambria" w:cs="Cambria" w:eastAsia="Cambria" w:hAnsi="Cambria"/>
          <w:b w:val="false"/>
          <w:bCs w:val="false"/>
          <w:i w:val="false"/>
          <w:iCs w:val="false"/>
          <w:strike w:val="false"/>
          <w:color w:val="000000"/>
          <w:sz w:val="24"/>
          <w:szCs w:val="24"/>
        </w:rPr>
        <w:t xml:space="preserve">.</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18.  During the December 18, 2025 hearing, Respondent’s counsel Mr. Dhaliwal referred to prior RTB proceedings and submitted documents from those proceedings as part of the Respondents’ evidence package served on the Petitioner on or about December 3, 2025.</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19.  The Petitioner raised the prior RTB proceedings during the hearing, including at recording timestamp approximately [66:00], in connection with the issue of the history of the tenancy relationship and prior determinations bearing on the matters before the arbitrator.</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20.  The arbitrator did not make any findings or provide any reasons addressing how the prior RTB Decision affected, constrained, or was distinguished from the December 18, 2025 determination.</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21.  Where a prior decision of the same tribunal has addressed materially related issues, a subsequent decision-maker is required to either apply the prior determination consistently or provide reasons explaining the departure: </w:t>
      </w:r>
      <w:r>
        <w:rPr>
          <w:rFonts w:ascii="Cambria" w:cs="Cambria" w:eastAsia="Cambria" w:hAnsi="Cambria"/>
          <w:b w:val="false"/>
          <w:bCs w:val="false"/>
          <w:i/>
          <w:iCs/>
          <w:strike w:val="false"/>
          <w:color w:val="000000"/>
          <w:sz w:val="24"/>
          <w:szCs w:val="24"/>
        </w:rPr>
        <w:t xml:space="preserve">Vavilov</w:t>
      </w:r>
      <w:r>
        <w:rPr>
          <w:rFonts w:ascii="Cambria" w:cs="Cambria" w:eastAsia="Cambria" w:hAnsi="Cambria"/>
          <w:b w:val="false"/>
          <w:bCs w:val="false"/>
          <w:i w:val="false"/>
          <w:iCs w:val="false"/>
          <w:strike w:val="false"/>
          <w:color w:val="000000"/>
          <w:sz w:val="24"/>
          <w:szCs w:val="24"/>
        </w:rPr>
        <w:t xml:space="preserve">, 2019 SCC 65 at paras 85, 127–128 (reasonable decision-maker must grapple with prior decisions of the same tribunal bearing on the issue).</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22.  The arbitrator’s failure to address the prior RTB proceedings constitutes a reviewable failure of reasons sufficient to render the decision unreasonable, independently of and in addition to the procedural fairness grounds set out above.</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23.  In the alternative, if the prior RTB Decision established facts or rights that bear on the present tenancy relationship, the arbitrator’s failure to address it may also constitute an error going to the substantive legality of the decision.</w:t>
      </w:r>
    </w:p>
    <w:p>
      <w:pPr>
        <w:pBdr>
          <w:bottom w:val="single" w:color="000000" w:sz="6"/>
        </w:pBdr>
        <w:spacing w:after="240" w:before="240"/>
      </w:pPr>
    </w:p>
    <w:p>
      <w:pPr>
        <w:pStyle w:val="Heading2"/>
        <w:spacing w:after="120" w:before="360" w:line="360" w:lineRule="auto"/>
        <w:jc w:val="center"/>
      </w:pPr>
      <w:r>
        <w:rPr>
          <w:rFonts w:ascii="Cambria" w:cs="Cambria" w:eastAsia="Cambria" w:hAnsi="Cambria"/>
          <w:color w:val="000000"/>
          <w:sz w:val="24"/>
          <w:szCs w:val="24"/>
        </w:rPr>
        <w:t xml:space="preserve">INADEQUATE EVIDENCE DISCLOSURE</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24.  At recording timestamp [46:35], Respondent’s counsel stated in respect of the Petitioner’s evidence: “It’s not legible evidence at least.” The Petitioner’s evidence was characterized as illegible by opposing counsel during the hearing, yet no adjournment was granted to allow for proper production or re-service of the Petitioner’s evidence.</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25.  The Petitioner stated at recording timestamp [48:24]: “I’m not aware of these emails. They’re not in the package delivered on December 3rd. I don’t have those emails.” The Petitioner did not receive a complete evidence package from the Respondents prior to the hearing. Emails and documents referenced by Respondent’s counsel during the hearing had not been included in the materials served on the Petitioner.</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26.  The duty of procedural fairness requires that a party be given adequate notice of the case to be met and a reasonable opportunity to respond to the evidence relied upon against them: </w:t>
      </w:r>
      <w:r>
        <w:rPr>
          <w:rFonts w:ascii="Cambria" w:cs="Cambria" w:eastAsia="Cambria" w:hAnsi="Cambria"/>
          <w:b w:val="false"/>
          <w:bCs w:val="false"/>
          <w:i/>
          <w:iCs/>
          <w:strike w:val="false"/>
          <w:color w:val="000000"/>
          <w:sz w:val="24"/>
          <w:szCs w:val="24"/>
        </w:rPr>
        <w:t xml:space="preserve">Cardinal v Director of Kent Institution</w:t>
      </w:r>
      <w:r>
        <w:rPr>
          <w:rFonts w:ascii="Cambria" w:cs="Cambria" w:eastAsia="Cambria" w:hAnsi="Cambria"/>
          <w:b w:val="false"/>
          <w:bCs w:val="false"/>
          <w:i w:val="false"/>
          <w:iCs w:val="false"/>
          <w:strike w:val="false"/>
          <w:color w:val="000000"/>
          <w:sz w:val="24"/>
          <w:szCs w:val="24"/>
        </w:rPr>
        <w:t xml:space="preserve">, [1985] 2 SCR 643 at 661; </w:t>
      </w:r>
      <w:r>
        <w:rPr>
          <w:rFonts w:ascii="Cambria" w:cs="Cambria" w:eastAsia="Cambria" w:hAnsi="Cambria"/>
          <w:b w:val="false"/>
          <w:bCs w:val="false"/>
          <w:i/>
          <w:iCs/>
          <w:strike w:val="false"/>
          <w:color w:val="000000"/>
          <w:sz w:val="24"/>
          <w:szCs w:val="24"/>
        </w:rPr>
        <w:t xml:space="preserve">Baker v Canada (Minister of Citizenship and Immigration)</w:t>
      </w:r>
      <w:r>
        <w:rPr>
          <w:rFonts w:ascii="Cambria" w:cs="Cambria" w:eastAsia="Cambria" w:hAnsi="Cambria"/>
          <w:b w:val="false"/>
          <w:bCs w:val="false"/>
          <w:i w:val="false"/>
          <w:iCs w:val="false"/>
          <w:strike w:val="false"/>
          <w:color w:val="000000"/>
          <w:sz w:val="24"/>
          <w:szCs w:val="24"/>
        </w:rPr>
        <w:t xml:space="preserve">, [1999] 2 SCR 817 at para 28.</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27.  The Petitioner was denied a meaningful opportunity to prepare for and respond to the Respondents’ evidence. This constitutes a breach of procedural fairness independent of and in addition to the address amendment ground.</w:t>
      </w:r>
    </w:p>
    <w:p>
      <w:pPr>
        <w:pBdr>
          <w:bottom w:val="single" w:color="000000" w:sz="6"/>
        </w:pBdr>
        <w:spacing w:after="240" w:before="240"/>
      </w:pPr>
    </w:p>
    <w:p>
      <w:pPr>
        <w:pStyle w:val="Heading2"/>
        <w:spacing w:after="120" w:before="360" w:line="360" w:lineRule="auto"/>
        <w:jc w:val="center"/>
      </w:pPr>
      <w:r>
        <w:rPr>
          <w:rFonts w:ascii="Cambria" w:cs="Cambria" w:eastAsia="Cambria" w:hAnsi="Cambria"/>
          <w:color w:val="000000"/>
          <w:sz w:val="24"/>
          <w:szCs w:val="24"/>
        </w:rPr>
        <w:t xml:space="preserve">APPEARANCE OF PREDETERMINATION</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28.  During the hearing on December 18, 2025, the arbitrator pressed for settlement on three separate occasions — at recording timestamps [51:16], [53:08], and [56:11] — before completing his own evidentiary questions to the parties.</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29.  At timestamp [53:34], the arbitrator stated: “I just know that if you agree to a settlement, there wouldn’t be any findings — as the council suggested. There wouldn’t be any findings about whether conduct was improper or not.” The arbitrator offered the absence of adverse findings as an inducement to the Petitioner to accept the Respondent’s settlement proposal, before the evidentiary record was closed.</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30.  An offer of “no findings” as a settlement inducement carries weight only if the decision-maker has already formed a conclusion as to what those findings would be. A reasonable and informed observer, aware of the full circumstances of the hearing, would reasonably apprehend that the arbitrator had predetermined an adverse outcome for the Petitioner before the evidence was complete.</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31.  The duty of procedural fairness requires a decision-maker to approach a matter with an open mind, free from prejudgment: </w:t>
      </w:r>
      <w:r>
        <w:rPr>
          <w:rFonts w:ascii="Cambria" w:cs="Cambria" w:eastAsia="Cambria" w:hAnsi="Cambria"/>
          <w:b w:val="false"/>
          <w:bCs w:val="false"/>
          <w:i/>
          <w:iCs/>
          <w:strike w:val="false"/>
          <w:color w:val="000000"/>
          <w:sz w:val="24"/>
          <w:szCs w:val="24"/>
        </w:rPr>
        <w:t xml:space="preserve">Baker</w:t>
      </w:r>
      <w:r>
        <w:rPr>
          <w:rFonts w:ascii="Cambria" w:cs="Cambria" w:eastAsia="Cambria" w:hAnsi="Cambria"/>
          <w:b w:val="false"/>
          <w:bCs w:val="false"/>
          <w:i w:val="false"/>
          <w:iCs w:val="false"/>
          <w:strike w:val="false"/>
          <w:color w:val="000000"/>
          <w:sz w:val="24"/>
          <w:szCs w:val="24"/>
        </w:rPr>
        <w:t xml:space="preserve">, [1999] 2 SCR 817; </w:t>
      </w:r>
      <w:r>
        <w:rPr>
          <w:rFonts w:ascii="Cambria" w:cs="Cambria" w:eastAsia="Cambria" w:hAnsi="Cambria"/>
          <w:b w:val="false"/>
          <w:bCs w:val="false"/>
          <w:i/>
          <w:iCs/>
          <w:strike w:val="false"/>
          <w:color w:val="000000"/>
          <w:sz w:val="24"/>
          <w:szCs w:val="24"/>
        </w:rPr>
        <w:t xml:space="preserve">Committee for Justice and Liberty v National Energy Board</w:t>
      </w:r>
      <w:r>
        <w:rPr>
          <w:rFonts w:ascii="Cambria" w:cs="Cambria" w:eastAsia="Cambria" w:hAnsi="Cambria"/>
          <w:b w:val="false"/>
          <w:bCs w:val="false"/>
          <w:i w:val="false"/>
          <w:iCs w:val="false"/>
          <w:strike w:val="false"/>
          <w:color w:val="000000"/>
          <w:sz w:val="24"/>
          <w:szCs w:val="24"/>
        </w:rPr>
        <w:t xml:space="preserve">, [1978] 1 SCR 369 at 394 (the test for reasonable apprehension of bias is what a reasonable and informed person, with knowledge of all relevant circumstances, would conclude). Three unprompted settlement pushes before the close of evidence, culminating in the “no findings” statement, satisfy that test.</w:t>
      </w:r>
    </w:p>
    <w:p>
      <w:pPr>
        <w:pBdr>
          <w:bottom w:val="single" w:color="000000" w:sz="6"/>
        </w:pBdr>
        <w:spacing w:after="240" w:before="240"/>
      </w:pPr>
    </w:p>
    <w:p>
      <w:pPr>
        <w:pStyle w:val="Heading2"/>
        <w:spacing w:after="120" w:before="360" w:line="360" w:lineRule="auto"/>
        <w:jc w:val="center"/>
      </w:pPr>
      <w:r>
        <w:rPr>
          <w:rFonts w:ascii="Cambria" w:cs="Cambria" w:eastAsia="Cambria" w:hAnsi="Cambria"/>
          <w:color w:val="000000"/>
          <w:sz w:val="24"/>
          <w:szCs w:val="24"/>
        </w:rPr>
        <w:t xml:space="preserve">UNSWORN FACTUAL ASSERTIONS AS BASIS FOR AMENDMENT</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32.  The address amendment was founded solely on factual assertions made by Ms. Sukhbinder Sanghera, the First Respondent’s daughter and authorized representative. At recording timestamp [03:43], Ms. Sanghera stated: “There doesn’t need to be an ‘A.’ There’s no A and B. But I think there used to be a B unit. The A does not have to be there, but he has added it so it’s fine. There used to be a B unit, but it’s only 990 13th Street.”</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33.  Ms. Sanghera was not sworn at the time she made this assertion. The oath was not administered until recording timestamp [09:02]. Her statement at [03:43] was therefore an unsworn factual claim, not testimony.</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34.  Respondent’s counsel, Mr. Dhaliwal, did not assert the address change as a factual matter. At timestamp [03:39] he stated only: “I’m not sure if there should be an ‘A’ there.” The substantive factual claim about the property layout was made by Ms. Sanghera, not by counsel, and it was made without oath.</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35.  The First Respondent, Gurmail Singh Sanghera, did not attend the hearing at all, as confirmed at recording timestamps [08:39]–[08:45]. No sworn evidence was tendered by or on behalf of the First Respondent in support of the amendment.</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36.  Granting a material amendment to a legal proceeding on the basis of unsworn, untested factual assertions made by a party representative, in the absence of the opposing party and without affording the opposing party any opportunity to challenge those assertions, is contrary to the foundational requirements of procedural fairness and the rules of evidence applicable to RTB proceedings under the </w:t>
      </w:r>
      <w:r>
        <w:rPr>
          <w:rFonts w:ascii="Cambria" w:cs="Cambria" w:eastAsia="Cambria" w:hAnsi="Cambria"/>
          <w:b w:val="false"/>
          <w:bCs w:val="false"/>
          <w:i/>
          <w:iCs/>
          <w:strike w:val="false"/>
          <w:color w:val="000000"/>
          <w:sz w:val="24"/>
          <w:szCs w:val="24"/>
        </w:rPr>
        <w:t xml:space="preserve">Residential Tenancy Act</w:t>
      </w:r>
      <w:r>
        <w:rPr>
          <w:rFonts w:ascii="Cambria" w:cs="Cambria" w:eastAsia="Cambria" w:hAnsi="Cambria"/>
          <w:b w:val="false"/>
          <w:bCs w:val="false"/>
          <w:i w:val="false"/>
          <w:iCs w:val="false"/>
          <w:strike w:val="false"/>
          <w:color w:val="000000"/>
          <w:sz w:val="24"/>
          <w:szCs w:val="24"/>
        </w:rPr>
        <w:t xml:space="preserve">, SBC 2002, c 78, and the </w:t>
      </w:r>
      <w:r>
        <w:rPr>
          <w:rFonts w:ascii="Cambria" w:cs="Cambria" w:eastAsia="Cambria" w:hAnsi="Cambria"/>
          <w:b w:val="false"/>
          <w:bCs w:val="false"/>
          <w:i/>
          <w:iCs/>
          <w:strike w:val="false"/>
          <w:color w:val="000000"/>
          <w:sz w:val="24"/>
          <w:szCs w:val="24"/>
        </w:rPr>
        <w:t xml:space="preserve">Residential Tenancy Regulation</w:t>
      </w:r>
      <w:r>
        <w:rPr>
          <w:rFonts w:ascii="Cambria" w:cs="Cambria" w:eastAsia="Cambria" w:hAnsi="Cambria"/>
          <w:b w:val="false"/>
          <w:bCs w:val="false"/>
          <w:i w:val="false"/>
          <w:iCs w:val="false"/>
          <w:strike w:val="false"/>
          <w:color w:val="000000"/>
          <w:sz w:val="24"/>
          <w:szCs w:val="24"/>
        </w:rPr>
        <w:t xml:space="preserve">, BC Reg 477/2003.</w:t>
      </w:r>
    </w:p>
    <w:p>
      <w:pPr>
        <w:pBdr>
          <w:bottom w:val="single" w:color="000000" w:sz="6"/>
        </w:pBdr>
        <w:spacing w:after="240" w:before="240"/>
      </w:pPr>
    </w:p>
    <w:p>
      <w:pPr>
        <w:pStyle w:val="Heading2"/>
        <w:spacing w:after="120" w:before="360" w:line="360" w:lineRule="auto"/>
        <w:jc w:val="center"/>
      </w:pPr>
      <w:r>
        <w:rPr>
          <w:rFonts w:ascii="Cambria" w:cs="Cambria" w:eastAsia="Cambria" w:hAnsi="Cambria"/>
          <w:color w:val="000000"/>
          <w:sz w:val="24"/>
          <w:szCs w:val="24"/>
        </w:rPr>
        <w:t xml:space="preserve">CUMULATIVE EFFECT</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37.  Each of the grounds set out above constitutes an independent basis for the relief sought. The Petitioner does not require the Court to find all grounds established in order to succeed.</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38.  In the alternative, even if no single ground standing alone were sufficient, the cumulative effect of: (i) the </w:t>
      </w:r>
      <w:r>
        <w:rPr>
          <w:rFonts w:ascii="Cambria" w:cs="Cambria" w:eastAsia="Cambria" w:hAnsi="Cambria"/>
          <w:b w:val="false"/>
          <w:bCs w:val="false"/>
          <w:i/>
          <w:iCs/>
          <w:strike w:val="false"/>
          <w:color w:val="000000"/>
          <w:sz w:val="24"/>
          <w:szCs w:val="24"/>
        </w:rPr>
        <w:t xml:space="preserve">ex parte</w:t>
      </w:r>
      <w:r>
        <w:rPr>
          <w:rFonts w:ascii="Cambria" w:cs="Cambria" w:eastAsia="Cambria" w:hAnsi="Cambria"/>
          <w:b w:val="false"/>
          <w:bCs w:val="false"/>
          <w:i w:val="false"/>
          <w:iCs w:val="false"/>
          <w:strike w:val="false"/>
          <w:color w:val="000000"/>
          <w:sz w:val="24"/>
          <w:szCs w:val="24"/>
        </w:rPr>
        <w:t xml:space="preserve"> address amendment; (ii) the failure to notify or re-open the threshold issue after the Petitioner joined; (iii) the receipt and reliance upon evidence not disclosed to the Petitioner; (iv) the failure to address prior RTB proceedings; (v) the unsworn basis of the amendment; and (vi) the settlement pressure and predetermination conduct — taken together, constitutes a hearing so fundamentally flawed as to require the Court to intervene and remit the matter for a fresh hearing before a different arbitrator.</w:t>
      </w:r>
    </w:p>
    <w:p>
      <w:pPr>
        <w:pBdr>
          <w:bottom w:val="single" w:color="000000" w:sz="6"/>
        </w:pBdr>
        <w:spacing w:after="240" w:before="240"/>
      </w:pPr>
    </w:p>
    <w:p>
      <w:pPr>
        <w:pStyle w:val="Heading2"/>
        <w:spacing w:after="120" w:before="360" w:line="360" w:lineRule="auto"/>
        <w:jc w:val="center"/>
      </w:pPr>
      <w:r>
        <w:rPr>
          <w:rFonts w:ascii="Cambria" w:cs="Cambria" w:eastAsia="Cambria" w:hAnsi="Cambria"/>
          <w:color w:val="000000"/>
          <w:sz w:val="24"/>
          <w:szCs w:val="24"/>
        </w:rPr>
        <w:t xml:space="preserve">BASIS FOR JURISDICTION</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39.  This court has jurisdiction pursuant to the </w:t>
      </w:r>
      <w:r>
        <w:rPr>
          <w:rFonts w:ascii="Cambria" w:cs="Cambria" w:eastAsia="Cambria" w:hAnsi="Cambria"/>
          <w:b w:val="false"/>
          <w:bCs w:val="false"/>
          <w:i/>
          <w:iCs/>
          <w:strike w:val="false"/>
          <w:color w:val="000000"/>
          <w:sz w:val="24"/>
          <w:szCs w:val="24"/>
        </w:rPr>
        <w:t xml:space="preserve">Judicial Review Procedure Act</w:t>
      </w:r>
      <w:r>
        <w:rPr>
          <w:rFonts w:ascii="Cambria" w:cs="Cambria" w:eastAsia="Cambria" w:hAnsi="Cambria"/>
          <w:b w:val="false"/>
          <w:bCs w:val="false"/>
          <w:i w:val="false"/>
          <w:iCs w:val="false"/>
          <w:strike w:val="false"/>
          <w:color w:val="000000"/>
          <w:sz w:val="24"/>
          <w:szCs w:val="24"/>
        </w:rPr>
        <w:t xml:space="preserve">, RSBC 1996, c 241, s 2.</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40.  The application is brought within the 60-day limitation period under the </w:t>
      </w:r>
      <w:r>
        <w:rPr>
          <w:rFonts w:ascii="Cambria" w:cs="Cambria" w:eastAsia="Cambria" w:hAnsi="Cambria"/>
          <w:b w:val="false"/>
          <w:bCs w:val="false"/>
          <w:i/>
          <w:iCs/>
          <w:strike w:val="false"/>
          <w:color w:val="000000"/>
          <w:sz w:val="24"/>
          <w:szCs w:val="24"/>
        </w:rPr>
        <w:t xml:space="preserve">Judicial Review Procedure Act</w:t>
      </w:r>
      <w:r>
        <w:rPr>
          <w:rFonts w:ascii="Cambria" w:cs="Cambria" w:eastAsia="Cambria" w:hAnsi="Cambria"/>
          <w:b w:val="false"/>
          <w:bCs w:val="false"/>
          <w:i w:val="false"/>
          <w:iCs w:val="false"/>
          <w:strike w:val="false"/>
          <w:color w:val="000000"/>
          <w:sz w:val="24"/>
          <w:szCs w:val="24"/>
        </w:rPr>
        <w:t xml:space="preserve">, s 9.</w:t>
      </w:r>
    </w:p>
    <w:p>
      <w:pPr>
        <w:pBdr>
          <w:bottom w:val="single" w:color="000000" w:sz="6"/>
        </w:pBdr>
        <w:spacing w:after="240" w:before="240"/>
      </w:pPr>
    </w:p>
    <w:p>
      <w:pPr>
        <w:pStyle w:val="Heading2"/>
        <w:spacing w:after="120" w:before="360" w:line="360" w:lineRule="auto"/>
        <w:jc w:val="center"/>
      </w:pPr>
      <w:r>
        <w:rPr>
          <w:rFonts w:ascii="Cambria" w:cs="Cambria" w:eastAsia="Cambria" w:hAnsi="Cambria"/>
          <w:color w:val="000000"/>
          <w:sz w:val="24"/>
          <w:szCs w:val="24"/>
        </w:rPr>
        <w:t xml:space="preserve">PLACE OF HEARING</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41.  The Petitioner seeks to have this application heard at the Kamloops Law Courts, 455 Columbia Street, Kamloops, British Columbia, or such other venue as this Honourable Court may direct.</w:t>
      </w:r>
    </w:p>
    <w:p>
      <w:pPr>
        <w:pBdr>
          <w:bottom w:val="single" w:color="000000" w:sz="6"/>
        </w:pBdr>
        <w:spacing w:after="240" w:before="240"/>
      </w:pPr>
    </w:p>
    <w:p>
      <w:pPr>
        <w:pStyle w:val="Heading2"/>
        <w:spacing w:after="120" w:before="360" w:line="360" w:lineRule="auto"/>
        <w:jc w:val="center"/>
      </w:pPr>
      <w:r>
        <w:rPr>
          <w:rFonts w:ascii="Cambria" w:cs="Cambria" w:eastAsia="Cambria" w:hAnsi="Cambria"/>
          <w:color w:val="000000"/>
          <w:sz w:val="24"/>
          <w:szCs w:val="24"/>
        </w:rPr>
        <w:t xml:space="preserve">RULE 8-1 NOTICE</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42.  The Petitioner seeks an oral hearing of this application.</w:t>
      </w:r>
    </w:p>
    <w:p>
      <w:pPr>
        <w:pBdr>
          <w:bottom w:val="single" w:color="000000" w:sz="6"/>
        </w:pBdr>
        <w:spacing w:after="240" w:before="240"/>
      </w:pPr>
    </w:p>
    <w:p>
      <w:pPr>
        <w:pStyle w:val="Heading2"/>
        <w:spacing w:after="120" w:before="360" w:line="360" w:lineRule="auto"/>
        <w:jc w:val="center"/>
      </w:pPr>
      <w:r>
        <w:rPr>
          <w:rFonts w:ascii="Cambria" w:cs="Cambria" w:eastAsia="Cambria" w:hAnsi="Cambria"/>
          <w:color w:val="000000"/>
          <w:sz w:val="24"/>
          <w:szCs w:val="24"/>
        </w:rPr>
        <w:t xml:space="preserve">ESTIMATE OF TIME</w:t>
      </w:r>
    </w:p>
    <w:p>
      <w:pPr>
        <w:spacing w:after="240" w:before="60" w:line="360" w:lineRule="auto"/>
        <w:jc w:val="both"/>
      </w:pPr>
      <w:r>
        <w:rPr>
          <w:rFonts w:ascii="Cambria" w:cs="Cambria" w:eastAsia="Cambria" w:hAnsi="Cambria"/>
          <w:b w:val="false"/>
          <w:bCs w:val="false"/>
          <w:i w:val="false"/>
          <w:iCs w:val="false"/>
          <w:strike w:val="false"/>
          <w:color w:val="000000"/>
          <w:sz w:val="24"/>
          <w:szCs w:val="24"/>
        </w:rPr>
        <w:t xml:space="preserve">43.  The Petitioner estimates that the hearing of this application will require approximately </w:t>
      </w:r>
      <w:r>
        <w:rPr>
          <w:rFonts w:ascii="Cambria" w:cs="Cambria" w:eastAsia="Cambria" w:hAnsi="Cambria"/>
          <w:b/>
          <w:bCs/>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hours.</w:t>
      </w:r>
    </w:p>
    <w:p>
      <w:pPr>
        <w:pBdr>
          <w:bottom w:val="single" w:color="000000" w:sz="6"/>
        </w:pBdr>
        <w:spacing w:after="240" w:before="240"/>
      </w:pPr>
    </w:p>
    <w:p>
      <w:pPr>
        <w:spacing w:after="360" w:before="60" w:line="360" w:lineRule="auto"/>
        <w:jc w:val="left"/>
      </w:pPr>
      <w:r>
        <w:rPr>
          <w:rFonts w:ascii="Cambria" w:cs="Cambria" w:eastAsia="Cambria" w:hAnsi="Cambria"/>
          <w:b w:val="false"/>
          <w:bCs w:val="false"/>
          <w:i w:val="false"/>
          <w:iCs w:val="false"/>
          <w:strike w:val="false"/>
          <w:color w:val="000000"/>
          <w:sz w:val="24"/>
          <w:szCs w:val="24"/>
        </w:rPr>
        <w:t xml:space="preserve">Date:  May 11, 2026</w:t>
      </w:r>
    </w:p>
    <w:p>
      <w:pPr>
        <w:spacing w:after="120" w:before="60" w:line="360" w:lineRule="auto"/>
        <w:jc w:val="left"/>
      </w:pPr>
      <w:r>
        <w:rPr>
          <w:rFonts w:ascii="Cambria" w:cs="Cambria" w:eastAsia="Cambria" w:hAnsi="Cambria"/>
          <w:b/>
          <w:bCs/>
          <w:i w:val="false"/>
          <w:iCs w:val="false"/>
          <w:strike w:val="false"/>
          <w:color w:val="000000"/>
          <w:sz w:val="24"/>
          <w:szCs w:val="24"/>
        </w:rPr>
        <w:t xml:space="preserve">Dan Owings</w:t>
      </w:r>
    </w:p>
    <w:p>
      <w:pPr>
        <w:spacing w:after="120" w:before="60" w:line="360" w:lineRule="auto"/>
        <w:jc w:val="left"/>
      </w:pPr>
      <w:r>
        <w:rPr>
          <w:rFonts w:ascii="Cambria" w:cs="Cambria" w:eastAsia="Cambria" w:hAnsi="Cambria"/>
          <w:b w:val="false"/>
          <w:bCs w:val="false"/>
          <w:i w:val="false"/>
          <w:iCs w:val="false"/>
          <w:strike w:val="false"/>
          <w:color w:val="000000"/>
          <w:sz w:val="24"/>
          <w:szCs w:val="24"/>
        </w:rPr>
        <w:t xml:space="preserve">Self-Represented Petitioner</w:t>
      </w:r>
    </w:p>
    <w:p>
      <w:pPr>
        <w:spacing w:after="120" w:before="60" w:line="360" w:lineRule="auto"/>
        <w:jc w:val="left"/>
      </w:pPr>
      <w:r>
        <w:rPr>
          <w:rFonts w:ascii="Cambria" w:cs="Cambria" w:eastAsia="Cambria" w:hAnsi="Cambria"/>
          <w:b w:val="false"/>
          <w:bCs w:val="false"/>
          <w:i w:val="false"/>
          <w:iCs w:val="false"/>
          <w:strike w:val="false"/>
          <w:color w:val="000000"/>
          <w:sz w:val="24"/>
          <w:szCs w:val="24"/>
        </w:rPr>
        <w:t xml:space="preserve">990A 13th Street</w:t>
      </w:r>
    </w:p>
    <w:p>
      <w:pPr>
        <w:spacing w:after="120" w:before="60" w:line="360" w:lineRule="auto"/>
        <w:jc w:val="left"/>
      </w:pPr>
      <w:r>
        <w:rPr>
          <w:rFonts w:ascii="Cambria" w:cs="Cambria" w:eastAsia="Cambria" w:hAnsi="Cambria"/>
          <w:b w:val="false"/>
          <w:bCs w:val="false"/>
          <w:i w:val="false"/>
          <w:iCs w:val="false"/>
          <w:strike w:val="false"/>
          <w:color w:val="000000"/>
          <w:sz w:val="24"/>
          <w:szCs w:val="24"/>
        </w:rPr>
        <w:t xml:space="preserve">Kamloops, BC  V2B 3C9</w:t>
      </w:r>
    </w:p>
    <w:p>
      <w:pPr>
        <w:spacing w:after="120" w:before="60" w:line="360" w:lineRule="auto"/>
        <w:jc w:val="left"/>
      </w:pPr>
      <w:r>
        <w:rPr>
          <w:rFonts w:ascii="Cambria" w:cs="Cambria" w:eastAsia="Cambria" w:hAnsi="Cambria"/>
          <w:b/>
          <w:bCs/>
          <w:i/>
          <w:iCs/>
          <w:strike w:val="false"/>
          <w:color w:val="000000"/>
          <w:sz w:val="24"/>
          <w:szCs w:val="24"/>
        </w:rPr>
        <w:t xml:space="preserve">[PENDING — Phone]</w:t>
      </w:r>
    </w:p>
    <w:p>
      <w:pPr>
        <w:spacing w:after="120" w:before="60" w:line="360" w:lineRule="auto"/>
        <w:jc w:val="left"/>
      </w:pPr>
      <w:r>
        <w:rPr>
          <w:rFonts w:ascii="Cambria" w:cs="Cambria" w:eastAsia="Cambria" w:hAnsi="Cambria"/>
          <w:b w:val="false"/>
          <w:bCs w:val="false"/>
          <w:i w:val="false"/>
          <w:iCs w:val="false"/>
          <w:strike w:val="false"/>
          <w:color w:val="000000"/>
          <w:sz w:val="24"/>
          <w:szCs w:val="24"/>
        </w:rPr>
        <w:t xml:space="preserve">memydaughter@hotmail.com</w:t>
      </w:r>
    </w:p>
    <w:p>
      <w:pPr>
        <w:pBdr>
          <w:bottom w:val="single" w:color="000000" w:sz="6"/>
        </w:pBdr>
        <w:spacing w:after="240" w:before="240"/>
      </w:pPr>
    </w:p>
    <w:p>
      <w:pPr>
        <w:spacing w:after="60" w:before="60" w:line="360" w:lineRule="auto"/>
        <w:jc w:val="left"/>
      </w:pPr>
      <w:r>
        <w:rPr>
          <w:rFonts w:ascii="Cambria" w:cs="Cambria" w:eastAsia="Cambria" w:hAnsi="Cambria"/>
          <w:b/>
          <w:bCs/>
          <w:i w:val="false"/>
          <w:iCs w:val="false"/>
          <w:strike w:val="false"/>
          <w:color w:val="000000"/>
          <w:sz w:val="24"/>
          <w:szCs w:val="24"/>
        </w:rPr>
        <w:t xml:space="preserve">TO: THE REGISTRY</w:t>
      </w:r>
    </w:p>
    <w:p>
      <w:pPr>
        <w:spacing w:after="60" w:before="60" w:line="360" w:lineRule="auto"/>
        <w:jc w:val="left"/>
      </w:pPr>
      <w:r>
        <w:rPr>
          <w:rFonts w:ascii="Cambria" w:cs="Cambria" w:eastAsia="Cambria" w:hAnsi="Cambria"/>
          <w:b w:val="false"/>
          <w:bCs w:val="false"/>
          <w:i w:val="false"/>
          <w:iCs w:val="false"/>
          <w:strike w:val="false"/>
          <w:color w:val="000000"/>
          <w:sz w:val="24"/>
          <w:szCs w:val="24"/>
        </w:rPr>
        <w:t xml:space="preserve">Kamloops Registry, BC Supreme Court</w:t>
      </w:r>
    </w:p>
    <w:p>
      <w:pPr>
        <w:spacing w:after="60" w:before="60" w:line="360" w:lineRule="auto"/>
        <w:jc w:val="left"/>
      </w:pPr>
      <w:r>
        <w:rPr>
          <w:rFonts w:ascii="Cambria" w:cs="Cambria" w:eastAsia="Cambria" w:hAnsi="Cambria"/>
          <w:b w:val="false"/>
          <w:bCs w:val="false"/>
          <w:i w:val="false"/>
          <w:iCs w:val="false"/>
          <w:strike w:val="false"/>
          <w:color w:val="000000"/>
          <w:sz w:val="24"/>
          <w:szCs w:val="24"/>
        </w:rPr>
        <w:t xml:space="preserve">455 Columbia Street</w:t>
      </w:r>
    </w:p>
    <w:p>
      <w:pPr>
        <w:spacing w:after="60" w:before="60" w:line="360" w:lineRule="auto"/>
        <w:jc w:val="left"/>
      </w:pPr>
      <w:r>
        <w:rPr>
          <w:rFonts w:ascii="Cambria" w:cs="Cambria" w:eastAsia="Cambria" w:hAnsi="Cambria"/>
          <w:b w:val="false"/>
          <w:bCs w:val="false"/>
          <w:i w:val="false"/>
          <w:iCs w:val="false"/>
          <w:strike w:val="false"/>
          <w:color w:val="000000"/>
          <w:sz w:val="24"/>
          <w:szCs w:val="24"/>
        </w:rPr>
        <w:t xml:space="preserve">Kamloops, BC  V2C 6K4</w:t>
      </w:r>
    </w:p>
    <w:p>
      <w:pPr>
        <w:pBdr>
          <w:bottom w:val="single" w:color="000000" w:sz="6"/>
        </w:pBdr>
        <w:spacing w:after="240" w:before="240"/>
      </w:pPr>
    </w:p>
    <w:p>
      <w:pPr>
        <w:pBdr>
          <w:bottom w:val="single" w:color="000000" w:sz="6"/>
        </w:pBdr>
        <w:spacing w:after="240" w:before="240"/>
      </w:pPr>
    </w:p>
    <w:p>
      <w:pPr>
        <w:spacing w:after="80" w:before="60" w:line="360" w:lineRule="auto"/>
        <w:jc w:val="left"/>
      </w:pPr>
      <w:r>
        <w:rPr>
          <w:rFonts w:ascii="Cambria" w:cs="Cambria" w:eastAsia="Cambria" w:hAnsi="Cambria"/>
          <w:b/>
          <w:bCs/>
          <w:i w:val="false"/>
          <w:iCs w:val="false"/>
          <w:strike w:val="false"/>
          <w:color w:val="000000"/>
          <w:sz w:val="24"/>
          <w:szCs w:val="24"/>
        </w:rPr>
        <w:t xml:space="preserve">DRAFT STATUS NOTE</w:t>
      </w:r>
    </w:p>
    <w:p>
      <w:pPr>
        <w:spacing w:after="120" w:before="60" w:line="360" w:lineRule="auto"/>
        <w:jc w:val="left"/>
      </w:pPr>
      <w:r>
        <w:rPr>
          <w:rFonts w:ascii="Cambria" w:cs="Cambria" w:eastAsia="Cambria" w:hAnsi="Cambria"/>
          <w:b w:val="false"/>
          <w:bCs w:val="false"/>
          <w:i w:val="false"/>
          <w:iCs w:val="false"/>
          <w:strike w:val="false"/>
          <w:color w:val="000000"/>
          <w:sz w:val="24"/>
          <w:szCs w:val="24"/>
        </w:rPr>
        <w:t xml:space="preserve">Items marked </w:t>
      </w:r>
      <w:r>
        <w:rPr>
          <w:rFonts w:ascii="Cambria" w:cs="Cambria" w:eastAsia="Cambria" w:hAnsi="Cambria"/>
          <w:b w:val="false"/>
          <w:bCs w:val="false"/>
          <w:i/>
          <w:iCs/>
          <w:strike w:val="false"/>
          <w:color w:val="000000"/>
          <w:sz w:val="24"/>
          <w:szCs w:val="24"/>
        </w:rPr>
        <w:t xml:space="preserve">[PENDING]</w:t>
      </w:r>
      <w:r>
        <w:rPr>
          <w:rFonts w:ascii="Cambria" w:cs="Cambria" w:eastAsia="Cambria" w:hAnsi="Cambria"/>
          <w:b w:val="false"/>
          <w:bCs w:val="false"/>
          <w:i w:val="false"/>
          <w:iCs w:val="false"/>
          <w:strike w:val="false"/>
          <w:color w:val="000000"/>
          <w:sz w:val="24"/>
          <w:szCs w:val="24"/>
        </w:rPr>
        <w:t xml:space="preserve"> are placeholders that must be confirmed before filing: RTB Decision Date, 2019 RTB File No. and Decision Date, 2019 decision holdings, Respondent’s address, phone number, hearing time estimate, and Respondent’s complete address for service. Attach the Petitioner’s Affidavit (Tab 08) and Memorandum of Argument (Tab 12) when filing this Notice. RTB Audio Recording and Certified Transcript to be included as exhibits.</w:t>
      </w:r>
    </w:p>
    <w:p>
      <w:pPr>
        <w:pBdr>
          <w:bottom w:val="single" w:color="000000" w:sz="6"/>
        </w:pBdr>
        <w:spacing w:after="240" w:before="240"/>
      </w:pP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Page 1 of 1 — [Page X of Y will be applied by the court filing system or word processor]</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ZVKLhLZWLpjtJg6Dwd32t</dc:title>
  <dc:creator>Un-named</dc:creator>
  <dc:description>Generated document</dc:description>
  <cp:lastModifiedBy>Un-named</cp:lastModifiedBy>
  <cp:revision>1</cp:revision>
  <dcterms:created xsi:type="dcterms:W3CDTF">2026-05-12T06:47:17.648Z</dcterms:created>
  <dcterms:modified xsi:type="dcterms:W3CDTF">2026-05-12T06:47:17.648Z</dcterms:modified>
</cp:coreProperties>
</file>

<file path=docProps/custom.xml><?xml version="1.0" encoding="utf-8"?>
<Properties xmlns="http://schemas.openxmlformats.org/officeDocument/2006/custom-properties" xmlns:vt="http://schemas.openxmlformats.org/officeDocument/2006/docPropsVTypes"/>
</file>