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6"/>
        </w:pBdr>
        <w:spacing w:after="240" w:before="240"/>
      </w:pPr>
    </w:p>
    <w:p>
      <w:pPr>
        <w:spacing w:after="120" w:line="384" w:lineRule="auto"/>
        <w:jc w:val="center"/>
      </w:pPr>
      <w:r>
        <w:rPr>
          <w:rFonts w:ascii="Cambria" w:cs="Cambria" w:eastAsia="Cambria" w:hAnsi="Cambria"/>
          <w:b/>
          <w:bCs/>
          <w:i w:val="false"/>
          <w:iCs w:val="false"/>
          <w:strike w:val="false"/>
          <w:color w:val="000000"/>
          <w:spacing w:val="30"/>
          <w:sz w:val="22"/>
          <w:szCs w:val="22"/>
        </w:rPr>
        <w:t xml:space="preserve">COURTROOM REFERENCE — NOT A LEGAL BRIEF</w:t>
      </w:r>
    </w:p>
    <w:p>
      <w:pPr>
        <w:pStyle w:val="Heading1"/>
        <w:spacing w:after="240" w:before="160" w:line="312" w:lineRule="auto"/>
        <w:jc w:val="center"/>
      </w:pPr>
      <w:r>
        <w:rPr>
          <w:rFonts w:ascii="Cambria" w:cs="Cambria" w:eastAsia="Cambria" w:hAnsi="Cambria"/>
          <w:color w:val="000000"/>
          <w:sz w:val="40"/>
          <w:szCs w:val="40"/>
        </w:rPr>
        <w:t xml:space="preserve">ORAL ARGUMENT REFERENCE SHEET</w:t>
      </w:r>
    </w:p>
    <w:p>
      <w:pPr>
        <w:spacing w:after="240" w:line="384" w:lineRule="auto"/>
        <w:jc w:val="center"/>
      </w:pPr>
      <w:r>
        <w:rPr>
          <w:rFonts w:ascii="Cambria" w:cs="Cambria" w:eastAsia="Cambria" w:hAnsi="Cambria"/>
          <w:b/>
          <w:bCs/>
          <w:i w:val="false"/>
          <w:iCs w:val="false"/>
          <w:strike w:val="false"/>
          <w:color w:val="000000"/>
          <w:sz w:val="22"/>
          <w:szCs w:val="22"/>
        </w:rPr>
        <w:t xml:space="preserve">Owings v. Sanghera (and Director, RTB)</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34%"/>
            <w:shd w:fill="E8E8E8" w:color="auto" w:val="clear"/>
            <w:tcMar>
              <w:top w:type="dxa" w:w="90"/>
              <w:left w:type="dxa" w:w="150"/>
              <w:bottom w:type="dxa" w:w="90"/>
              <w:right w:type="dxa" w:w="150"/>
            </w:tcMar>
          </w:tcPr>
          <w:p>
            <w:r>
              <w:rPr>
                <w:rFonts w:ascii="Cambria" w:cs="Cambria" w:eastAsia="Cambria" w:hAnsi="Cambria"/>
                <w:b/>
                <w:bCs/>
                <w:i w:val="false"/>
                <w:iCs w:val="false"/>
                <w:strike w:val="false"/>
                <w:color w:val="333333"/>
                <w:sz w:val="20"/>
                <w:szCs w:val="20"/>
              </w:rPr>
              <w:t xml:space="preserve">Court:</w:t>
            </w:r>
          </w:p>
        </w:tc>
        <w:tc>
          <w:tcPr>
            <w:tcW w:type="pct" w:w="66%"/>
            <w:shd w:fill="E8E8E8" w:color="auto" w:val="clear"/>
            <w:tcMar>
              <w:top w:type="dxa" w:w="90"/>
              <w:left w:type="dxa" w:w="150"/>
              <w:bottom w:type="dxa" w:w="90"/>
              <w:right w:type="dxa" w:w="150"/>
            </w:tcMar>
          </w:tcPr>
          <w:p>
            <w:r>
              <w:rPr>
                <w:rFonts w:ascii="Cambria" w:cs="Cambria" w:eastAsia="Cambria" w:hAnsi="Cambria"/>
                <w:b/>
                <w:bCs/>
                <w:i w:val="false"/>
                <w:iCs w:val="false"/>
                <w:strike w:val="false"/>
                <w:color w:val="333333"/>
                <w:sz w:val="20"/>
                <w:szCs w:val="20"/>
              </w:rPr>
              <w:t xml:space="preserve">BC Supreme Court, Kamloops Registry</w:t>
            </w:r>
          </w:p>
        </w:tc>
      </w:tr>
      <w:tr>
        <w:trPr>
          <w:tblHeader w:val="false"/>
        </w:trPr>
        <w:tc>
          <w:tcPr>
            <w:tcW w:type="pct" w:w="34%"/>
            <w:tcMar>
              <w:top w:type="dxa" w:w="90"/>
              <w:left w:type="dxa" w:w="150"/>
              <w:bottom w:type="dxa" w:w="90"/>
              <w:right w:type="dxa" w:w="150"/>
            </w:tcMar>
          </w:tcPr>
          <w:p>
            <w:r>
              <w:rPr>
                <w:rFonts w:ascii="Cambria" w:cs="Cambria" w:eastAsia="Cambria" w:hAnsi="Cambria"/>
                <w:b/>
                <w:bCs/>
                <w:i w:val="false"/>
                <w:iCs w:val="false"/>
                <w:strike w:val="false"/>
                <w:color w:val="333333"/>
                <w:sz w:val="20"/>
                <w:szCs w:val="20"/>
              </w:rPr>
              <w:t xml:space="preserve">File No.:</w:t>
            </w:r>
          </w:p>
        </w:tc>
        <w:tc>
          <w:tcPr>
            <w:tcW w:type="pct" w:w="66%"/>
            <w:tcMar>
              <w:top w:type="dxa" w:w="90"/>
              <w:left w:type="dxa" w:w="150"/>
              <w:bottom w:type="dxa" w:w="90"/>
              <w:right w:type="dxa" w:w="150"/>
            </w:tcMar>
          </w:tcPr>
          <w:p>
            <w:r>
              <w:rPr>
                <w:rFonts w:ascii="Cambria" w:cs="Cambria" w:eastAsia="Cambria" w:hAnsi="Cambria"/>
                <w:b/>
                <w:bCs/>
                <w:i w:val="false"/>
                <w:iCs w:val="false"/>
                <w:strike w:val="false"/>
                <w:color w:val="333333"/>
                <w:sz w:val="20"/>
                <w:szCs w:val="20"/>
              </w:rPr>
              <w:t xml:space="preserve">KAM-S-S-065285</w:t>
            </w:r>
          </w:p>
        </w:tc>
      </w:tr>
      <w:tr>
        <w:trPr>
          <w:tblHeader w:val="false"/>
        </w:trPr>
        <w:tc>
          <w:tcPr>
            <w:tcW w:type="pct" w:w="34%"/>
            <w:tcMar>
              <w:top w:type="dxa" w:w="90"/>
              <w:left w:type="dxa" w:w="150"/>
              <w:bottom w:type="dxa" w:w="90"/>
              <w:right w:type="dxa" w:w="150"/>
            </w:tcMar>
          </w:tcPr>
          <w:p>
            <w:r>
              <w:rPr>
                <w:rFonts w:ascii="Cambria" w:cs="Cambria" w:eastAsia="Cambria" w:hAnsi="Cambria"/>
                <w:b/>
                <w:bCs/>
                <w:i w:val="false"/>
                <w:iCs w:val="false"/>
                <w:strike w:val="false"/>
                <w:color w:val="333333"/>
                <w:sz w:val="20"/>
                <w:szCs w:val="20"/>
              </w:rPr>
              <w:t xml:space="preserve">RTB File No.:</w:t>
            </w:r>
          </w:p>
        </w:tc>
        <w:tc>
          <w:tcPr>
            <w:tcW w:type="pct" w:w="66%"/>
            <w:tcMar>
              <w:top w:type="dxa" w:w="90"/>
              <w:left w:type="dxa" w:w="150"/>
              <w:bottom w:type="dxa" w:w="90"/>
              <w:right w:type="dxa" w:w="150"/>
            </w:tcMar>
          </w:tcPr>
          <w:p>
            <w:r>
              <w:rPr>
                <w:rFonts w:ascii="Cambria" w:cs="Cambria" w:eastAsia="Cambria" w:hAnsi="Cambria"/>
                <w:b/>
                <w:bCs/>
                <w:i w:val="false"/>
                <w:iCs w:val="false"/>
                <w:strike w:val="false"/>
                <w:color w:val="333333"/>
                <w:sz w:val="20"/>
                <w:szCs w:val="20"/>
              </w:rPr>
              <w:t xml:space="preserve">910-222-034</w:t>
            </w:r>
          </w:p>
        </w:tc>
      </w:tr>
      <w:tr>
        <w:trPr>
          <w:tblHeader w:val="false"/>
        </w:trPr>
        <w:tc>
          <w:tcPr>
            <w:tcW w:type="pct" w:w="34%"/>
            <w:tcMar>
              <w:top w:type="dxa" w:w="90"/>
              <w:left w:type="dxa" w:w="150"/>
              <w:bottom w:type="dxa" w:w="90"/>
              <w:right w:type="dxa" w:w="150"/>
            </w:tcMar>
          </w:tcPr>
          <w:p>
            <w:r>
              <w:rPr>
                <w:rFonts w:ascii="Cambria" w:cs="Cambria" w:eastAsia="Cambria" w:hAnsi="Cambria"/>
                <w:b/>
                <w:bCs/>
                <w:i w:val="false"/>
                <w:iCs w:val="false"/>
                <w:strike w:val="false"/>
                <w:color w:val="333333"/>
                <w:sz w:val="20"/>
                <w:szCs w:val="20"/>
              </w:rPr>
              <w:t xml:space="preserve">RTB Hearing Date:</w:t>
            </w:r>
          </w:p>
        </w:tc>
        <w:tc>
          <w:tcPr>
            <w:tcW w:type="pct" w:w="66%"/>
            <w:tcMar>
              <w:top w:type="dxa" w:w="90"/>
              <w:left w:type="dxa" w:w="150"/>
              <w:bottom w:type="dxa" w:w="90"/>
              <w:right w:type="dxa" w:w="150"/>
            </w:tcMar>
          </w:tcPr>
          <w:p>
            <w:r>
              <w:rPr>
                <w:rFonts w:ascii="Cambria" w:cs="Cambria" w:eastAsia="Cambria" w:hAnsi="Cambria"/>
                <w:b/>
                <w:bCs/>
                <w:i w:val="false"/>
                <w:iCs w:val="false"/>
                <w:strike w:val="false"/>
                <w:color w:val="333333"/>
                <w:sz w:val="20"/>
                <w:szCs w:val="20"/>
              </w:rPr>
              <w:t xml:space="preserve">December 18, 2025</w:t>
            </w:r>
          </w:p>
        </w:tc>
      </w:tr>
      <w:tr>
        <w:trPr>
          <w:tblHeader w:val="false"/>
        </w:trPr>
        <w:tc>
          <w:tcPr>
            <w:tcW w:type="pct" w:w="34%"/>
            <w:tcMar>
              <w:top w:type="dxa" w:w="90"/>
              <w:left w:type="dxa" w:w="150"/>
              <w:bottom w:type="dxa" w:w="90"/>
              <w:right w:type="dxa" w:w="150"/>
            </w:tcMar>
          </w:tcPr>
          <w:p>
            <w:r>
              <w:rPr>
                <w:rFonts w:ascii="Cambria" w:cs="Cambria" w:eastAsia="Cambria" w:hAnsi="Cambria"/>
                <w:b/>
                <w:bCs/>
                <w:i w:val="false"/>
                <w:iCs w:val="false"/>
                <w:strike w:val="false"/>
                <w:color w:val="333333"/>
                <w:sz w:val="20"/>
                <w:szCs w:val="20"/>
              </w:rPr>
              <w:t xml:space="preserve">RTB Arbitrator:</w:t>
            </w:r>
          </w:p>
        </w:tc>
        <w:tc>
          <w:tcPr>
            <w:tcW w:type="pct" w:w="66%"/>
            <w:tcMar>
              <w:top w:type="dxa" w:w="90"/>
              <w:left w:type="dxa" w:w="150"/>
              <w:bottom w:type="dxa" w:w="90"/>
              <w:right w:type="dxa" w:w="150"/>
            </w:tcMar>
          </w:tcPr>
          <w:p>
            <w:r>
              <w:rPr>
                <w:rFonts w:ascii="Cambria" w:cs="Cambria" w:eastAsia="Cambria" w:hAnsi="Cambria"/>
                <w:b/>
                <w:bCs/>
                <w:i w:val="false"/>
                <w:iCs w:val="false"/>
                <w:strike w:val="false"/>
                <w:color w:val="333333"/>
                <w:sz w:val="20"/>
                <w:szCs w:val="20"/>
              </w:rPr>
              <w:t xml:space="preserve">Arbitrator Wang</w:t>
            </w:r>
          </w:p>
        </w:tc>
      </w:tr>
      <w:tr>
        <w:trPr>
          <w:tblHeader w:val="false"/>
        </w:trPr>
        <w:tc>
          <w:tcPr>
            <w:tcW w:type="pct" w:w="34%"/>
            <w:tcMar>
              <w:top w:type="dxa" w:w="90"/>
              <w:left w:type="dxa" w:w="150"/>
              <w:bottom w:type="dxa" w:w="90"/>
              <w:right w:type="dxa" w:w="150"/>
            </w:tcMar>
          </w:tcPr>
          <w:p>
            <w:r>
              <w:rPr>
                <w:rFonts w:ascii="Cambria" w:cs="Cambria" w:eastAsia="Cambria" w:hAnsi="Cambria"/>
                <w:b/>
                <w:bCs/>
                <w:i w:val="false"/>
                <w:iCs w:val="false"/>
                <w:strike w:val="false"/>
                <w:color w:val="333333"/>
                <w:sz w:val="20"/>
                <w:szCs w:val="20"/>
              </w:rPr>
              <w:t xml:space="preserve">Petitioner:</w:t>
            </w:r>
          </w:p>
        </w:tc>
        <w:tc>
          <w:tcPr>
            <w:tcW w:type="pct" w:w="66%"/>
            <w:tcMar>
              <w:top w:type="dxa" w:w="90"/>
              <w:left w:type="dxa" w:w="150"/>
              <w:bottom w:type="dxa" w:w="90"/>
              <w:right w:type="dxa" w:w="150"/>
            </w:tcMar>
          </w:tcPr>
          <w:p>
            <w:r>
              <w:rPr>
                <w:rFonts w:ascii="Cambria" w:cs="Cambria" w:eastAsia="Cambria" w:hAnsi="Cambria"/>
                <w:b/>
                <w:bCs/>
                <w:i w:val="false"/>
                <w:iCs w:val="false"/>
                <w:strike w:val="false"/>
                <w:color w:val="333333"/>
                <w:sz w:val="20"/>
                <w:szCs w:val="20"/>
              </w:rPr>
              <w:t xml:space="preserve">Daniel Kirk Owings (Self-Represented)</w:t>
            </w:r>
          </w:p>
        </w:tc>
      </w:tr>
    </w:tbl>
    <w:p>
      <w:pPr>
        <w:spacing w:after="200" w:before="0"/>
      </w:pP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E8E8E8" w:color="auto" w:val="clear"/>
            <w:tcMar>
              <w:top w:type="dxa" w:w="120"/>
              <w:left w:type="dxa" w:w="200"/>
              <w:bottom w:type="dxa" w:w="120"/>
              <w:right w:type="dxa" w:w="200"/>
            </w:tcMar>
          </w:tcPr>
          <w:p>
            <w:pPr>
              <w:spacing w:after="120" w:line="408" w:lineRule="auto"/>
            </w:pPr>
            <w:r>
              <w:rPr>
                <w:rFonts w:ascii="Cambria" w:cs="Cambria" w:eastAsia="Cambria" w:hAnsi="Cambria"/>
                <w:b/>
                <w:bCs/>
                <w:i w:val="false"/>
                <w:iCs w:val="false"/>
                <w:strike w:val="false"/>
                <w:color w:val="555555"/>
                <w:spacing w:val="15"/>
                <w:sz w:val="18"/>
                <w:szCs w:val="18"/>
              </w:rPr>
              <w:t xml:space="preserve">Section 1  —</w:t>
            </w:r>
          </w:p>
          <w:p>
            <w:pPr>
              <w:spacing w:after="120" w:line="408" w:lineRule="auto"/>
            </w:pPr>
            <w:r>
              <w:t xml:space="preserve">THE CORE ARGUMENT</w:t>
            </w:r>
          </w:p>
          <w:p>
            <w:pPr>
              <w:spacing w:after="120" w:line="408" w:lineRule="auto"/>
            </w:pPr>
            <w:r>
              <w:rPr>
                <w:rFonts w:ascii="Cambria" w:cs="Cambria" w:eastAsia="Cambria" w:hAnsi="Cambria"/>
                <w:b w:val="false"/>
                <w:bCs w:val="false"/>
                <w:i w:val="false"/>
                <w:iCs w:val="false"/>
                <w:strike w:val="false"/>
                <w:color w:val="000000"/>
                <w:sz w:val="22"/>
                <w:szCs w:val="22"/>
              </w:rPr>
              <w:t xml:space="preserve">(Lead With This)</w:t>
            </w:r>
          </w:p>
        </w:tc>
      </w:tr>
    </w:tbl>
    <w:p>
      <w:pPr>
        <w:spacing w:after="240" w:before="0"/>
      </w:pPr>
    </w:p>
    <w:p>
      <w:pPr>
        <w:pStyle w:val="Heading2"/>
        <w:spacing w:after="80" w:before="280" w:line="384" w:lineRule="auto"/>
      </w:pPr>
      <w:r>
        <w:rPr>
          <w:rFonts w:ascii="Cambria" w:cs="Cambria" w:eastAsia="Cambria" w:hAnsi="Cambria"/>
          <w:color w:val="000000"/>
          <w:sz w:val="24"/>
          <w:szCs w:val="24"/>
        </w:rPr>
        <w:t xml:space="preserve">The One-Sentence Summary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7F7F7" w:color="auto" w:val="clear"/>
            <w:tcMar>
              <w:top w:type="dxa" w:w="240"/>
              <w:left w:type="dxa" w:w="280"/>
              <w:bottom w:type="dxa" w:w="240"/>
              <w:right w:type="dxa" w:w="280"/>
            </w:tcMar>
          </w:tcPr>
          <w:p>
            <w:pPr>
              <w:spacing w:after="120" w:line="408" w:lineRule="auto"/>
            </w:pPr>
            <w:r>
              <w:rPr>
                <w:i/>
                <w:iCs/>
              </w:rPr>
              <w:t xml:space="preserve">"The arbitrator made a foundational ruling about which tenancy unit was being heard — before I joined the call — on the basis of an unsworn assertion from the landlord's daughter, and then conducted the entire hearing on that altered basis without telling me it had happened."</w:t>
            </w:r>
          </w:p>
        </w:tc>
      </w:tr>
    </w:tbl>
    <w:p>
      <w:pPr>
        <w:spacing w:after="240" w:before="0"/>
      </w:pPr>
    </w:p>
    <w:p>
      <w:pPr>
        <w:pStyle w:val="Heading2"/>
        <w:spacing w:after="80" w:before="280" w:line="384" w:lineRule="auto"/>
      </w:pPr>
      <w:r>
        <w:rPr>
          <w:rFonts w:ascii="Cambria" w:cs="Cambria" w:eastAsia="Cambria" w:hAnsi="Cambria"/>
          <w:color w:val="000000"/>
          <w:sz w:val="24"/>
          <w:szCs w:val="24"/>
        </w:rPr>
        <w:t xml:space="preserve">Key Facts — Chronological Sequence</w:t>
      </w:r>
    </w:p>
    <w:p>
      <w:pPr>
        <w:pStyle w:val="ListParagraph"/>
        <w:numPr>
          <w:ilvl w:val="0"/>
          <w:numId w:val="1"/>
        </w:numPr>
        <w:spacing w:after="60" w:line="408" w:lineRule="auto"/>
        <w:ind w:left="720" w:hanging="360"/>
      </w:pPr>
      <w:r>
        <w:rPr>
          <w:rFonts w:ascii="Consolas" w:cs="Consolas" w:eastAsia="Consolas" w:hAnsi="Consolas"/>
          <w:b/>
          <w:bCs/>
          <w:i w:val="false"/>
          <w:iCs w:val="false"/>
          <w:strike w:val="false"/>
          <w:color w:val="000000"/>
          <w:sz w:val="19"/>
          <w:szCs w:val="19"/>
          <w:shd w:fill="F0F0F0" w:color="auto" w:val="clear"/>
        </w:rPr>
        <w:t xml:space="preserve">[03:16]</w:t>
      </w:r>
      <w:r>
        <w:rPr>
          <w:rFonts w:ascii="Cambria" w:cs="Cambria" w:eastAsia="Cambria" w:hAnsi="Cambria"/>
          <w:b w:val="false"/>
          <w:bCs w:val="false"/>
          <w:i w:val="false"/>
          <w:iCs w:val="false"/>
          <w:strike w:val="false"/>
          <w:color w:val="000000"/>
          <w:sz w:val="22"/>
          <w:szCs w:val="22"/>
        </w:rPr>
        <w:t xml:space="preserve"> Arbitrator states address as </w:t>
      </w:r>
      <w:r>
        <w:rPr>
          <w:rFonts w:ascii="Cambria" w:cs="Cambria" w:eastAsia="Cambria" w:hAnsi="Cambria"/>
          <w:b/>
          <w:bCs/>
          <w:i w:val="false"/>
          <w:iCs w:val="false"/>
          <w:strike w:val="false"/>
          <w:color w:val="000000"/>
          <w:sz w:val="22"/>
          <w:szCs w:val="22"/>
        </w:rPr>
        <w:t xml:space="preserve">"990A 13th Street, Kamloops"</w:t>
      </w:r>
      <w:r>
        <w:rPr>
          <w:rFonts w:ascii="Cambria" w:cs="Cambria" w:eastAsia="Cambria" w:hAnsi="Cambria"/>
          <w:b w:val="false"/>
          <w:bCs w:val="false"/>
          <w:i w:val="false"/>
          <w:iCs w:val="false"/>
          <w:strike w:val="false"/>
          <w:color w:val="000000"/>
          <w:sz w:val="22"/>
          <w:szCs w:val="22"/>
        </w:rPr>
        <w:t xml:space="preserve"> — address issue begins.</w:t>
      </w:r>
    </w:p>
    <w:p>
      <w:pPr>
        <w:pStyle w:val="ListParagraph"/>
        <w:numPr>
          <w:ilvl w:val="0"/>
          <w:numId w:val="1"/>
        </w:numPr>
        <w:spacing w:after="60" w:line="408" w:lineRule="auto"/>
        <w:ind w:left="720" w:hanging="360"/>
      </w:pPr>
      <w:r>
        <w:rPr>
          <w:rFonts w:ascii="Consolas" w:cs="Consolas" w:eastAsia="Consolas" w:hAnsi="Consolas"/>
          <w:b/>
          <w:bCs/>
          <w:i w:val="false"/>
          <w:iCs w:val="false"/>
          <w:strike w:val="false"/>
          <w:color w:val="000000"/>
          <w:sz w:val="19"/>
          <w:szCs w:val="19"/>
          <w:shd w:fill="F0F0F0" w:color="auto" w:val="clear"/>
        </w:rPr>
        <w:t xml:space="preserve">[03:39]</w:t>
      </w:r>
      <w:r>
        <w:rPr>
          <w:rFonts w:ascii="Cambria" w:cs="Cambria" w:eastAsia="Cambria" w:hAnsi="Cambria"/>
          <w:b w:val="false"/>
          <w:bCs w:val="false"/>
          <w:i w:val="false"/>
          <w:iCs w:val="false"/>
          <w:strike w:val="false"/>
          <w:color w:val="000000"/>
          <w:sz w:val="22"/>
          <w:szCs w:val="22"/>
        </w:rPr>
        <w:t xml:space="preserve"> Counsel Dhaliwal raises question: </w:t>
      </w:r>
      <w:r>
        <w:rPr>
          <w:rFonts w:ascii="Cambria" w:cs="Cambria" w:eastAsia="Cambria" w:hAnsi="Cambria"/>
          <w:b w:val="false"/>
          <w:bCs w:val="false"/>
          <w:i/>
          <w:iCs/>
          <w:strike w:val="false"/>
          <w:color w:val="000000"/>
          <w:sz w:val="22"/>
          <w:szCs w:val="22"/>
        </w:rPr>
        <w:t xml:space="preserve">"I'm not sure if there should be an 'A' there."</w:t>
      </w:r>
    </w:p>
    <w:p>
      <w:pPr>
        <w:pStyle w:val="ListParagraph"/>
        <w:numPr>
          <w:ilvl w:val="0"/>
          <w:numId w:val="1"/>
        </w:numPr>
        <w:spacing w:after="60" w:line="408" w:lineRule="auto"/>
        <w:ind w:left="720" w:hanging="360"/>
      </w:pPr>
      <w:r>
        <w:rPr>
          <w:rFonts w:ascii="Consolas" w:cs="Consolas" w:eastAsia="Consolas" w:hAnsi="Consolas"/>
          <w:b/>
          <w:bCs/>
          <w:i w:val="false"/>
          <w:iCs w:val="false"/>
          <w:strike w:val="false"/>
          <w:color w:val="000000"/>
          <w:sz w:val="19"/>
          <w:szCs w:val="19"/>
          <w:shd w:fill="F0F0F0" w:color="auto" w:val="clear"/>
        </w:rPr>
        <w:t xml:space="preserve">[03:43]</w:t>
      </w:r>
      <w:r>
        <w:rPr>
          <w:rFonts w:ascii="Cambria" w:cs="Cambria" w:eastAsia="Cambria" w:hAnsi="Cambria"/>
          <w:b w:val="false"/>
          <w:bCs w:val="false"/>
          <w:i w:val="false"/>
          <w:iCs w:val="false"/>
          <w:strike w:val="false"/>
          <w:color w:val="000000"/>
          <w:sz w:val="22"/>
          <w:szCs w:val="22"/>
        </w:rPr>
        <w:t xml:space="preserve"> Ms. Sanghera — </w:t>
      </w:r>
      <w:r>
        <w:rPr>
          <w:rFonts w:ascii="Cambria" w:cs="Cambria" w:eastAsia="Cambria" w:hAnsi="Cambria"/>
          <w:b/>
          <w:bCs/>
          <w:i w:val="false"/>
          <w:iCs w:val="false"/>
          <w:strike w:val="false"/>
          <w:color w:val="000000"/>
          <w:sz w:val="22"/>
          <w:szCs w:val="22"/>
          <w:shd w:fill="FFFACD" w:color="auto" w:val="clear"/>
        </w:rPr>
        <w:t xml:space="preserve">NOT yet sworn</w:t>
      </w:r>
      <w:r>
        <w:rPr>
          <w:rFonts w:ascii="Cambria" w:cs="Cambria" w:eastAsia="Cambria" w:hAnsi="Cambria"/>
          <w:b w:val="false"/>
          <w:bCs w:val="false"/>
          <w:i w:val="false"/>
          <w:iCs w:val="false"/>
          <w:strike w:val="false"/>
          <w:color w:val="000000"/>
          <w:sz w:val="22"/>
          <w:szCs w:val="22"/>
        </w:rPr>
        <w:t xml:space="preserve"> (oath not taken until </w:t>
      </w:r>
      <w:r>
        <w:rPr>
          <w:rFonts w:ascii="Consolas" w:cs="Consolas" w:eastAsia="Consolas" w:hAnsi="Consolas"/>
          <w:b/>
          <w:bCs/>
          <w:i w:val="false"/>
          <w:iCs w:val="false"/>
          <w:strike w:val="false"/>
          <w:color w:val="000000"/>
          <w:sz w:val="19"/>
          <w:szCs w:val="19"/>
          <w:shd w:fill="F0F0F0" w:color="auto" w:val="clear"/>
        </w:rPr>
        <w:t xml:space="preserve">[09:02]</w:t>
      </w:r>
      <w:r>
        <w:rPr>
          <w:rFonts w:ascii="Cambria" w:cs="Cambria" w:eastAsia="Cambria" w:hAnsi="Cambria"/>
          <w:b w:val="false"/>
          <w:bCs w:val="false"/>
          <w:i w:val="false"/>
          <w:iCs w:val="false"/>
          <w:strike w:val="false"/>
          <w:color w:val="000000"/>
          <w:sz w:val="22"/>
          <w:szCs w:val="22"/>
        </w:rPr>
        <w:t xml:space="preserve">) — makes a factual claim: </w:t>
      </w:r>
      <w:r>
        <w:rPr>
          <w:rFonts w:ascii="Cambria" w:cs="Cambria" w:eastAsia="Cambria" w:hAnsi="Cambria"/>
          <w:b w:val="false"/>
          <w:bCs w:val="false"/>
          <w:i/>
          <w:iCs/>
          <w:strike w:val="false"/>
          <w:color w:val="000000"/>
          <w:sz w:val="22"/>
          <w:szCs w:val="22"/>
        </w:rPr>
        <w:t xml:space="preserve">"There doesn't need to be an 'A.' There's no A and B... it's only 990 13th Street."</w:t>
      </w:r>
    </w:p>
    <w:p>
      <w:pPr>
        <w:pStyle w:val="ListParagraph"/>
        <w:numPr>
          <w:ilvl w:val="0"/>
          <w:numId w:val="1"/>
        </w:numPr>
        <w:spacing w:after="60" w:line="408" w:lineRule="auto"/>
        <w:ind w:left="720" w:hanging="360"/>
      </w:pPr>
      <w:r>
        <w:rPr>
          <w:rFonts w:ascii="Consolas" w:cs="Consolas" w:eastAsia="Consolas" w:hAnsi="Consolas"/>
          <w:b/>
          <w:bCs/>
          <w:i w:val="false"/>
          <w:iCs w:val="false"/>
          <w:strike w:val="false"/>
          <w:color w:val="000000"/>
          <w:sz w:val="19"/>
          <w:szCs w:val="19"/>
          <w:shd w:fill="F0F0F0" w:color="auto" w:val="clear"/>
        </w:rPr>
        <w:t xml:space="preserve">[04:27]</w:t>
      </w:r>
      <w:r>
        <w:rPr>
          <w:rFonts w:ascii="Cambria" w:cs="Cambria" w:eastAsia="Cambria" w:hAnsi="Cambria"/>
          <w:b w:val="false"/>
          <w:bCs w:val="false"/>
          <w:i w:val="false"/>
          <w:iCs w:val="false"/>
          <w:strike w:val="false"/>
          <w:color w:val="000000"/>
          <w:sz w:val="22"/>
          <w:szCs w:val="22"/>
        </w:rPr>
        <w:t xml:space="preserve"> Arbitrator grants amendment: </w:t>
      </w:r>
      <w:r>
        <w:rPr>
          <w:rFonts w:ascii="Cambria" w:cs="Cambria" w:eastAsia="Cambria" w:hAnsi="Cambria"/>
          <w:b w:val="false"/>
          <w:bCs w:val="false"/>
          <w:i/>
          <w:iCs/>
          <w:strike w:val="false"/>
          <w:color w:val="000000"/>
          <w:sz w:val="22"/>
          <w:szCs w:val="22"/>
        </w:rPr>
        <w:t xml:space="preserve">"I think we should leave it as 990 — that's the correct address."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FF8DC" w:color="auto" w:val="clear"/>
            <w:tcMar>
              <w:top w:type="dxa" w:w="160"/>
              <w:left w:type="dxa" w:w="240"/>
              <w:bottom w:type="dxa" w:w="160"/>
              <w:right w:type="dxa" w:w="240"/>
            </w:tcMar>
          </w:tcPr>
          <w:p>
            <w:pPr>
              <w:spacing w:after="120" w:line="408" w:lineRule="auto"/>
            </w:pPr>
            <w:r>
              <w:t xml:space="preserve">THE GAP:</w:t>
            </w:r>
          </w:p>
          <w:p>
            <w:pPr>
              <w:spacing w:after="120" w:line="408" w:lineRule="auto"/>
            </w:pPr>
            <w:r>
              <w:t xml:space="preserve">1 minute and 46 seconds elapsed between</w:t>
            </w:r>
          </w:p>
          <w:p>
            <w:pPr>
              <w:spacing w:after="120" w:line="408" w:lineRule="auto"/>
            </w:pPr>
            <w:r>
              <w:rPr>
                <w:rFonts w:ascii="Consolas" w:cs="Consolas" w:eastAsia="Consolas" w:hAnsi="Consolas"/>
                <w:b/>
                <w:bCs/>
                <w:i w:val="false"/>
                <w:iCs w:val="false"/>
                <w:strike w:val="false"/>
                <w:color w:val="000000"/>
                <w:sz w:val="19"/>
                <w:szCs w:val="19"/>
                <w:shd w:fill="F0F0F0" w:color="auto" w:val="clear"/>
              </w:rPr>
              <w:t xml:space="preserve">[03:16]</w:t>
            </w:r>
          </w:p>
          <w:p>
            <w:pPr>
              <w:spacing w:after="120" w:line="408" w:lineRule="auto"/>
            </w:pPr>
            <w:r>
              <w:t xml:space="preserve">and</w:t>
            </w:r>
          </w:p>
          <w:p>
            <w:pPr>
              <w:spacing w:after="120" w:line="408" w:lineRule="auto"/>
            </w:pPr>
            <w:r>
              <w:rPr>
                <w:rFonts w:ascii="Consolas" w:cs="Consolas" w:eastAsia="Consolas" w:hAnsi="Consolas"/>
                <w:b/>
                <w:bCs/>
                <w:i w:val="false"/>
                <w:iCs w:val="false"/>
                <w:strike w:val="false"/>
                <w:color w:val="000000"/>
                <w:sz w:val="19"/>
                <w:szCs w:val="19"/>
                <w:shd w:fill="F0F0F0" w:color="auto" w:val="clear"/>
              </w:rPr>
              <w:t xml:space="preserve">[05:02]</w:t>
            </w:r>
          </w:p>
          <w:p>
            <w:pPr>
              <w:spacing w:after="120" w:line="408" w:lineRule="auto"/>
            </w:pPr>
            <w:r>
              <w:t xml:space="preserve">. The foundational address ruling was made, debated, and resolved — entirely before the Petitioner was on the call.</w:t>
            </w:r>
          </w:p>
        </w:tc>
      </w:tr>
    </w:tbl>
    <w:p>
      <w:pPr>
        <w:spacing w:after="240" w:before="0"/>
      </w:pPr>
    </w:p>
    <w:p>
      <w:pPr>
        <w:pStyle w:val="ListParagraph"/>
        <w:numPr>
          <w:ilvl w:val="0"/>
          <w:numId w:val="1"/>
        </w:numPr>
        <w:spacing w:after="60" w:line="408" w:lineRule="auto"/>
        <w:ind w:left="720" w:hanging="360"/>
      </w:pPr>
      <w:r>
        <w:rPr>
          <w:rFonts w:ascii="Consolas" w:cs="Consolas" w:eastAsia="Consolas" w:hAnsi="Consolas"/>
          <w:b/>
          <w:bCs/>
          <w:i w:val="false"/>
          <w:iCs w:val="false"/>
          <w:strike w:val="false"/>
          <w:color w:val="000000"/>
          <w:sz w:val="19"/>
          <w:szCs w:val="19"/>
          <w:shd w:fill="F0F0F0" w:color="auto" w:val="clear"/>
        </w:rPr>
        <w:t xml:space="preserve">[05:02]</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SYSTEM: "Announcing participant. Dan Owings."</w:t>
      </w:r>
      <w:r>
        <w:rPr>
          <w:rFonts w:ascii="Cambria" w:cs="Cambria" w:eastAsia="Cambria" w:hAnsi="Cambria"/>
          <w:b w:val="false"/>
          <w:bCs w:val="false"/>
          <w:i w:val="false"/>
          <w:iCs w:val="false"/>
          <w:strike w:val="false"/>
          <w:color w:val="000000"/>
          <w:sz w:val="22"/>
          <w:szCs w:val="22"/>
        </w:rPr>
        <w:t xml:space="preserve"> — Petitioner joins the call.</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The arbitrator </w:t>
      </w:r>
      <w:r>
        <w:rPr>
          <w:rFonts w:ascii="Cambria" w:cs="Cambria" w:eastAsia="Cambria" w:hAnsi="Cambria"/>
          <w:b/>
          <w:bCs/>
          <w:i w:val="false"/>
          <w:iCs w:val="false"/>
          <w:strike w:val="false"/>
          <w:color w:val="000000"/>
          <w:sz w:val="22"/>
          <w:szCs w:val="22"/>
          <w:shd w:fill="FFFACD" w:color="auto" w:val="clear"/>
        </w:rPr>
        <w:t xml:space="preserve">NEVER</w:t>
      </w:r>
      <w:r>
        <w:rPr>
          <w:rFonts w:ascii="Cambria" w:cs="Cambria" w:eastAsia="Cambria" w:hAnsi="Cambria"/>
          <w:b w:val="false"/>
          <w:bCs w:val="false"/>
          <w:i w:val="false"/>
          <w:iCs w:val="false"/>
          <w:strike w:val="false"/>
          <w:color w:val="000000"/>
          <w:sz w:val="22"/>
          <w:szCs w:val="22"/>
        </w:rPr>
        <w:t xml:space="preserve"> disclosed to the Petitioner that the amendment had been made.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Landlord Gurmail Singh Sanghera was </w:t>
      </w:r>
      <w:r>
        <w:rPr>
          <w:rFonts w:ascii="Cambria" w:cs="Cambria" w:eastAsia="Cambria" w:hAnsi="Cambria"/>
          <w:b/>
          <w:bCs/>
          <w:i w:val="false"/>
          <w:iCs w:val="false"/>
          <w:strike w:val="false"/>
          <w:color w:val="000000"/>
          <w:sz w:val="22"/>
          <w:szCs w:val="22"/>
        </w:rPr>
        <w:t xml:space="preserve">NOT PRESENT</w:t>
      </w:r>
      <w:r>
        <w:rPr>
          <w:rFonts w:ascii="Cambria" w:cs="Cambria" w:eastAsia="Cambria" w:hAnsi="Cambria"/>
          <w:b w:val="false"/>
          <w:bCs w:val="false"/>
          <w:i w:val="false"/>
          <w:iCs w:val="false"/>
          <w:strike w:val="false"/>
          <w:color w:val="000000"/>
          <w:sz w:val="22"/>
          <w:szCs w:val="22"/>
        </w:rPr>
        <w:t xml:space="preserve"> — confirmed at </w:t>
      </w:r>
      <w:r>
        <w:rPr>
          <w:rFonts w:ascii="Consolas" w:cs="Consolas" w:eastAsia="Consolas" w:hAnsi="Consolas"/>
          <w:b/>
          <w:bCs/>
          <w:i w:val="false"/>
          <w:iCs w:val="false"/>
          <w:strike w:val="false"/>
          <w:color w:val="000000"/>
          <w:sz w:val="19"/>
          <w:szCs w:val="19"/>
          <w:shd w:fill="F0F0F0" w:color="auto" w:val="clear"/>
        </w:rPr>
        <w:t xml:space="preserve">[08:39]</w:t>
      </w:r>
      <w:r>
        <w:rPr>
          <w:rFonts w:ascii="Cambria" w:cs="Cambria" w:eastAsia="Cambria" w:hAnsi="Cambria"/>
          <w:b w:val="false"/>
          <w:bCs w:val="false"/>
          <w:i w:val="false"/>
          <w:iCs w:val="false"/>
          <w:strike w:val="false"/>
          <w:color w:val="000000"/>
          <w:sz w:val="22"/>
          <w:szCs w:val="22"/>
        </w:rPr>
        <w:t xml:space="preserve">–</w:t>
      </w:r>
      <w:r>
        <w:rPr>
          <w:rFonts w:ascii="Consolas" w:cs="Consolas" w:eastAsia="Consolas" w:hAnsi="Consolas"/>
          <w:b/>
          <w:bCs/>
          <w:i w:val="false"/>
          <w:iCs w:val="false"/>
          <w:strike w:val="false"/>
          <w:color w:val="000000"/>
          <w:sz w:val="19"/>
          <w:szCs w:val="19"/>
          <w:shd w:fill="F0F0F0" w:color="auto" w:val="clear"/>
        </w:rPr>
        <w:t xml:space="preserve">[08:45]</w:t>
      </w:r>
      <w:r>
        <w:rPr>
          <w:rFonts w:ascii="Cambria" w:cs="Cambria" w:eastAsia="Cambria" w:hAnsi="Cambria"/>
          <w:b w:val="false"/>
          <w:bCs w:val="false"/>
          <w:i w:val="false"/>
          <w:iCs w:val="false"/>
          <w:strike w:val="false"/>
          <w:color w:val="000000"/>
          <w:sz w:val="22"/>
          <w:szCs w:val="22"/>
        </w:rPr>
        <w:t xml:space="preserv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Counsel's role was confirmed as </w:t>
      </w:r>
      <w:r>
        <w:rPr>
          <w:rFonts w:ascii="Cambria" w:cs="Cambria" w:eastAsia="Cambria" w:hAnsi="Cambria"/>
          <w:b/>
          <w:bCs/>
          <w:i w:val="false"/>
          <w:iCs w:val="false"/>
          <w:strike w:val="false"/>
          <w:color w:val="000000"/>
          <w:sz w:val="22"/>
          <w:szCs w:val="22"/>
        </w:rPr>
        <w:t xml:space="preserve">"submissions only"</w:t>
      </w:r>
      <w:r>
        <w:rPr>
          <w:rFonts w:ascii="Cambria" w:cs="Cambria" w:eastAsia="Cambria" w:hAnsi="Cambria"/>
          <w:b w:val="false"/>
          <w:bCs w:val="false"/>
          <w:i w:val="false"/>
          <w:iCs w:val="false"/>
          <w:strike w:val="false"/>
          <w:color w:val="000000"/>
          <w:sz w:val="22"/>
          <w:szCs w:val="22"/>
        </w:rPr>
        <w:t xml:space="preserve"> at </w:t>
      </w:r>
      <w:r>
        <w:rPr>
          <w:rFonts w:ascii="Consolas" w:cs="Consolas" w:eastAsia="Consolas" w:hAnsi="Consolas"/>
          <w:b/>
          <w:bCs/>
          <w:i w:val="false"/>
          <w:iCs w:val="false"/>
          <w:strike w:val="false"/>
          <w:color w:val="000000"/>
          <w:sz w:val="19"/>
          <w:szCs w:val="19"/>
          <w:shd w:fill="F0F0F0" w:color="auto" w:val="clear"/>
        </w:rPr>
        <w:t xml:space="preserve">[08:08]</w:t>
      </w:r>
      <w:r>
        <w:rPr>
          <w:rFonts w:ascii="Cambria" w:cs="Cambria" w:eastAsia="Cambria" w:hAnsi="Cambria"/>
          <w:b w:val="false"/>
          <w:bCs w:val="false"/>
          <w:i w:val="false"/>
          <w:iCs w:val="false"/>
          <w:strike w:val="false"/>
          <w:color w:val="000000"/>
          <w:sz w:val="22"/>
          <w:szCs w:val="22"/>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9F9F9" w:color="auto" w:val="clear"/>
            <w:tcMar>
              <w:top w:type="dxa" w:w="200"/>
              <w:left w:type="dxa" w:w="280"/>
              <w:bottom w:type="dxa" w:w="200"/>
              <w:right w:type="dxa" w:w="280"/>
            </w:tcMar>
          </w:tcPr>
          <w:p>
            <w:pPr>
              <w:spacing w:after="120" w:line="408" w:lineRule="auto"/>
            </w:pPr>
            <w:r>
              <w:rPr>
                <w:b/>
                <w:bCs/>
                <w:i w:val="false"/>
                <w:iCs w:val="false"/>
                <w:color w:val="333333"/>
              </w:rPr>
              <w:t xml:space="preserve">▶ If the Judge Asks: "Why does the address matter?"</w:t>
            </w:r>
          </w:p>
          <w:p>
            <w:pPr>
              <w:spacing w:after="80" w:line="384" w:lineRule="auto"/>
            </w:pPr>
            <w:r>
              <w:rPr>
                <w:rFonts w:ascii="Cambria" w:cs="Cambria" w:eastAsia="Cambria" w:hAnsi="Cambria"/>
                <w:b w:val="false"/>
                <w:bCs w:val="false"/>
                <w:i w:val="false"/>
                <w:iCs w:val="false"/>
                <w:strike w:val="false"/>
                <w:color w:val="000000"/>
                <w:sz w:val="21"/>
                <w:szCs w:val="21"/>
              </w:rPr>
              <w:t xml:space="preserve">"Your Honour, the address is the legal identifier for which tenancy is the subject of the proceeding. 990A is my specific unit. 990 is the property address for the whole duplex. By changing it, the arbitrator enabled the Respondents to attribute conduct from the entire property — including from the neighbouring unit at 988 13th Street — to my specific unit, without any finding that the conduct originated there. I was excluded from challenging this at the moment it mattered most."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9F9F9" w:color="auto" w:val="clear"/>
            <w:tcMar>
              <w:top w:type="dxa" w:w="200"/>
              <w:left w:type="dxa" w:w="280"/>
              <w:bottom w:type="dxa" w:w="200"/>
              <w:right w:type="dxa" w:w="280"/>
            </w:tcMar>
          </w:tcPr>
          <w:p>
            <w:pPr>
              <w:spacing w:after="120" w:line="408" w:lineRule="auto"/>
            </w:pPr>
            <w:r>
              <w:rPr>
                <w:b/>
                <w:bCs/>
                <w:i w:val="false"/>
                <w:iCs w:val="false"/>
                <w:color w:val="333333"/>
              </w:rPr>
              <w:t xml:space="preserve">▶ If the Judge Asks: "Weren't you present for the hearing overall?"</w:t>
            </w:r>
          </w:p>
          <w:p>
            <w:pPr>
              <w:spacing w:after="80" w:line="384" w:lineRule="auto"/>
            </w:pPr>
            <w:r>
              <w:rPr>
                <w:rFonts w:ascii="Cambria" w:cs="Cambria" w:eastAsia="Cambria" w:hAnsi="Cambria"/>
                <w:b w:val="false"/>
                <w:bCs w:val="false"/>
                <w:i w:val="false"/>
                <w:iCs w:val="false"/>
                <w:strike w:val="false"/>
                <w:color w:val="000000"/>
                <w:sz w:val="21"/>
                <w:szCs w:val="21"/>
              </w:rPr>
              <w:t xml:space="preserve">"Your Honour, I was present for the hearing, but not for the amendment. The amendment was the foundational threshold question — which tenancy was being adjudicated. That was resolved before I joined. A party being present for most of a hearing does not cure an ex parte determination of a material issue. That is the principle in </w:t>
            </w:r>
            <w:r>
              <w:rPr>
                <w:rFonts w:ascii="Cambria" w:cs="Cambria" w:eastAsia="Cambria" w:hAnsi="Cambria"/>
                <w:b w:val="false"/>
                <w:bCs w:val="false"/>
                <w:i/>
                <w:iCs/>
                <w:strike w:val="false"/>
                <w:color w:val="000000"/>
                <w:sz w:val="22"/>
                <w:szCs w:val="22"/>
              </w:rPr>
              <w:t xml:space="preserve">Baker</w:t>
            </w:r>
            <w:r>
              <w:rPr>
                <w:rFonts w:ascii="Cambria" w:cs="Cambria" w:eastAsia="Cambria" w:hAnsi="Cambria"/>
                <w:b w:val="false"/>
                <w:bCs w:val="false"/>
                <w:i w:val="false"/>
                <w:iCs w:val="false"/>
                <w:strike w:val="false"/>
                <w:color w:val="000000"/>
                <w:sz w:val="21"/>
                <w:szCs w:val="21"/>
              </w:rPr>
              <w:t xml:space="preserve"> and in the </w:t>
            </w:r>
            <w:r>
              <w:rPr>
                <w:rFonts w:ascii="Cambria" w:cs="Cambria" w:eastAsia="Cambria" w:hAnsi="Cambria"/>
                <w:b w:val="false"/>
                <w:bCs w:val="false"/>
                <w:i/>
                <w:iCs/>
                <w:strike w:val="false"/>
                <w:color w:val="000000"/>
                <w:sz w:val="22"/>
                <w:szCs w:val="22"/>
              </w:rPr>
              <w:t xml:space="preserve">audi alteram partem</w:t>
            </w:r>
            <w:r>
              <w:rPr>
                <w:rFonts w:ascii="Cambria" w:cs="Cambria" w:eastAsia="Cambria" w:hAnsi="Cambria"/>
                <w:b w:val="false"/>
                <w:bCs w:val="false"/>
                <w:i w:val="false"/>
                <w:iCs w:val="false"/>
                <w:strike w:val="false"/>
                <w:color w:val="000000"/>
                <w:sz w:val="21"/>
                <w:szCs w:val="21"/>
              </w:rPr>
              <w:t xml:space="preserve"> rule."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E8E8E8" w:color="auto" w:val="clear"/>
            <w:tcMar>
              <w:top w:type="dxa" w:w="120"/>
              <w:left w:type="dxa" w:w="200"/>
              <w:bottom w:type="dxa" w:w="120"/>
              <w:right w:type="dxa" w:w="200"/>
            </w:tcMar>
          </w:tcPr>
          <w:p>
            <w:pPr>
              <w:spacing w:after="120" w:line="408" w:lineRule="auto"/>
            </w:pPr>
            <w:r>
              <w:rPr>
                <w:rFonts w:ascii="Cambria" w:cs="Cambria" w:eastAsia="Cambria" w:hAnsi="Cambria"/>
                <w:b/>
                <w:bCs/>
                <w:i w:val="false"/>
                <w:iCs w:val="false"/>
                <w:strike w:val="false"/>
                <w:color w:val="555555"/>
                <w:spacing w:val="15"/>
                <w:sz w:val="18"/>
                <w:szCs w:val="18"/>
              </w:rPr>
              <w:t xml:space="preserve">Section 2  —</w:t>
            </w:r>
          </w:p>
          <w:p>
            <w:pPr>
              <w:spacing w:after="120" w:line="408" w:lineRule="auto"/>
            </w:pPr>
            <w:r>
              <w:t xml:space="preserve">THE LEGAL TEST (Procedural Fairness)</w:t>
            </w:r>
          </w:p>
        </w:tc>
      </w:tr>
    </w:tbl>
    <w:p>
      <w:pPr>
        <w:spacing w:after="240" w:before="0"/>
      </w:pPr>
    </w:p>
    <w:p>
      <w:pPr>
        <w:pStyle w:val="Heading2"/>
        <w:spacing w:after="80" w:before="280" w:line="384" w:lineRule="auto"/>
      </w:pPr>
      <w:r>
        <w:rPr>
          <w:rFonts w:ascii="Cambria" w:cs="Cambria" w:eastAsia="Cambria" w:hAnsi="Cambria"/>
          <w:color w:val="000000"/>
          <w:sz w:val="24"/>
          <w:szCs w:val="24"/>
        </w:rPr>
        <w:t xml:space="preserve">Standard of Review</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AFAFA" w:color="auto" w:val="clear"/>
            <w:tcMar>
              <w:top w:type="dxa" w:w="120"/>
              <w:left w:type="dxa" w:w="240"/>
              <w:bottom w:type="dxa" w:w="120"/>
              <w:right w:type="dxa" w:w="240"/>
            </w:tcMar>
          </w:tcPr>
          <w:p>
            <w:pPr>
              <w:spacing w:after="120" w:line="408" w:lineRule="auto"/>
            </w:pPr>
            <w:r>
              <w:rPr>
                <w:i/>
                <w:iCs/>
              </w:rPr>
              <w:t xml:space="preserve">"Questions of procedural fairness are determined by the reviewing court without deference to the tribunal."</w:t>
            </w:r>
          </w:p>
          <w:p>
            <w:pPr>
              <w:spacing w:after="120" w:line="408" w:lineRule="auto"/>
            </w:pPr>
            <w:r>
              <w:rPr>
                <w:rFonts w:ascii="Cambria" w:cs="Cambria" w:eastAsia="Cambria" w:hAnsi="Cambria"/>
                <w:b/>
                <w:bCs/>
                <w:i w:val="false"/>
                <w:iCs w:val="false"/>
                <w:strike w:val="false"/>
                <w:color w:val="000000"/>
                <w:sz w:val="22"/>
                <w:szCs w:val="22"/>
              </w:rPr>
              <w:t xml:space="preserve">Canada (Minister of Citizenship and Immigration) v. Vavilov, 2019 SCC 65, para 23</w:t>
            </w:r>
          </w:p>
        </w:tc>
      </w:tr>
    </w:tbl>
    <w:p>
      <w:pPr>
        <w:spacing w:after="240" w:before="0"/>
      </w:pPr>
    </w:p>
    <w:p>
      <w:pPr>
        <w:pStyle w:val="Heading2"/>
        <w:spacing w:after="80" w:before="280" w:line="384" w:lineRule="auto"/>
      </w:pPr>
      <w:r>
        <w:rPr>
          <w:rFonts w:ascii="Cambria" w:cs="Cambria" w:eastAsia="Cambria" w:hAnsi="Cambria"/>
          <w:color w:val="000000"/>
          <w:sz w:val="24"/>
          <w:szCs w:val="24"/>
        </w:rPr>
        <w:t xml:space="preserve">Baker Factors — What the Petitioner Was Owed</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Home of </w:t>
      </w:r>
      <w:r>
        <w:rPr>
          <w:rFonts w:ascii="Cambria" w:cs="Cambria" w:eastAsia="Cambria" w:hAnsi="Cambria"/>
          <w:b/>
          <w:bCs/>
          <w:i w:val="false"/>
          <w:iCs w:val="false"/>
          <w:strike w:val="false"/>
          <w:color w:val="000000"/>
          <w:sz w:val="22"/>
          <w:szCs w:val="22"/>
        </w:rPr>
        <w:t xml:space="preserve">9 years</w:t>
      </w:r>
      <w:r>
        <w:rPr>
          <w:rFonts w:ascii="Cambria" w:cs="Cambria" w:eastAsia="Cambria" w:hAnsi="Cambria"/>
          <w:b w:val="false"/>
          <w:bCs w:val="false"/>
          <w:i w:val="false"/>
          <w:iCs w:val="false"/>
          <w:strike w:val="false"/>
          <w:color w:val="000000"/>
          <w:sz w:val="22"/>
          <w:szCs w:val="22"/>
        </w:rPr>
        <w:t xml:space="preserve"> was at stake — grave personal consequences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The </w:t>
      </w:r>
      <w:r>
        <w:rPr>
          <w:rFonts w:ascii="Cambria" w:cs="Cambria" w:eastAsia="Cambria" w:hAnsi="Cambria"/>
          <w:b w:val="false"/>
          <w:bCs w:val="false"/>
          <w:i/>
          <w:iCs/>
          <w:strike w:val="false"/>
          <w:color w:val="000000"/>
          <w:sz w:val="22"/>
          <w:szCs w:val="22"/>
        </w:rPr>
        <w:t xml:space="preserve">Residential Tenancy Act</w:t>
      </w:r>
      <w:r>
        <w:rPr>
          <w:rFonts w:ascii="Cambria" w:cs="Cambria" w:eastAsia="Cambria" w:hAnsi="Cambria"/>
          <w:b w:val="false"/>
          <w:bCs w:val="false"/>
          <w:i w:val="false"/>
          <w:iCs w:val="false"/>
          <w:strike w:val="false"/>
          <w:color w:val="000000"/>
          <w:sz w:val="22"/>
          <w:szCs w:val="22"/>
        </w:rPr>
        <w:t xml:space="preserve"> has a remedial, protective purpose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Legitimate expectation of participation </w:t>
      </w:r>
      <w:r>
        <w:rPr>
          <w:rFonts w:ascii="Cambria" w:cs="Cambria" w:eastAsia="Cambria" w:hAnsi="Cambria"/>
          <w:b/>
          <w:bCs/>
          <w:i w:val="false"/>
          <w:iCs w:val="false"/>
          <w:strike w:val="false"/>
          <w:color w:val="000000"/>
          <w:sz w:val="22"/>
          <w:szCs w:val="22"/>
        </w:rPr>
        <w:t xml:space="preserve">before</w:t>
      </w:r>
      <w:r>
        <w:rPr>
          <w:rFonts w:ascii="Cambria" w:cs="Cambria" w:eastAsia="Cambria" w:hAnsi="Cambria"/>
          <w:b w:val="false"/>
          <w:bCs w:val="false"/>
          <w:i w:val="false"/>
          <w:iCs w:val="false"/>
          <w:strike w:val="false"/>
          <w:color w:val="000000"/>
          <w:sz w:val="22"/>
          <w:szCs w:val="22"/>
        </w:rPr>
        <w:t xml:space="preserve"> foundational determinations were made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Alternative fair procedures existed — e.g., simply waiting 46 seconds for the Petitioner to join before resolving the address question</w:t>
      </w:r>
    </w:p>
    <w:p>
      <w:pPr>
        <w:pStyle w:val="Heading2"/>
        <w:spacing w:after="80" w:before="280" w:line="384" w:lineRule="auto"/>
      </w:pPr>
      <w:r>
        <w:rPr>
          <w:rFonts w:ascii="Cambria" w:cs="Cambria" w:eastAsia="Cambria" w:hAnsi="Cambria"/>
          <w:color w:val="000000"/>
          <w:sz w:val="24"/>
          <w:szCs w:val="24"/>
        </w:rPr>
        <w:t xml:space="preserve">Prejudice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AFAFA" w:color="auto" w:val="clear"/>
            <w:tcMar>
              <w:top w:type="dxa" w:w="120"/>
              <w:left w:type="dxa" w:w="240"/>
              <w:bottom w:type="dxa" w:w="120"/>
              <w:right w:type="dxa" w:w="240"/>
            </w:tcMar>
          </w:tcPr>
          <w:p>
            <w:pPr>
              <w:spacing w:after="120" w:line="408" w:lineRule="auto"/>
            </w:pPr>
            <w:r>
              <w:rPr>
                <w:i/>
                <w:iCs/>
              </w:rPr>
              <w:t xml:space="preserve">"Where a material procedural fairness breach is established, the resulting prejudice may arise from the denial of meaningful participation itself."</w:t>
            </w:r>
          </w:p>
          <w:p>
            <w:pPr>
              <w:spacing w:after="120" w:line="408" w:lineRule="auto"/>
            </w:pPr>
            <w:r>
              <w:rPr>
                <w:rFonts w:ascii="Cambria" w:cs="Cambria" w:eastAsia="Cambria" w:hAnsi="Cambria"/>
                <w:b/>
                <w:bCs/>
                <w:i w:val="false"/>
                <w:iCs w:val="false"/>
                <w:strike w:val="false"/>
                <w:color w:val="000000"/>
                <w:sz w:val="22"/>
                <w:szCs w:val="22"/>
              </w:rPr>
              <w:t xml:space="preserve">Newfoundland Telephone Co. v. Newfoundland (Board of Commissioners of Public Utilities), [1992] 1 SCR 623</w:t>
            </w:r>
          </w:p>
        </w:tc>
      </w:tr>
    </w:tbl>
    <w:p>
      <w:pPr>
        <w:spacing w:after="240" w:before="0"/>
      </w:pPr>
    </w:p>
    <w:p>
      <w:pPr>
        <w:pStyle w:val="Heading2"/>
        <w:spacing w:after="80" w:before="280" w:line="384" w:lineRule="auto"/>
      </w:pPr>
      <w:r>
        <w:rPr>
          <w:rFonts w:ascii="Cambria" w:cs="Cambria" w:eastAsia="Cambria" w:hAnsi="Cambria"/>
          <w:color w:val="000000"/>
          <w:sz w:val="24"/>
          <w:szCs w:val="24"/>
        </w:rPr>
        <w:t xml:space="preserve">No Waiver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AFAFA" w:color="auto" w:val="clear"/>
            <w:tcMar>
              <w:top w:type="dxa" w:w="120"/>
              <w:left w:type="dxa" w:w="240"/>
              <w:bottom w:type="dxa" w:w="120"/>
              <w:right w:type="dxa" w:w="240"/>
            </w:tcMar>
          </w:tcPr>
          <w:p>
            <w:pPr>
              <w:spacing w:after="120" w:line="408" w:lineRule="auto"/>
            </w:pPr>
            <w:r>
              <w:rPr>
                <w:i/>
                <w:iCs/>
              </w:rPr>
              <w:t xml:space="preserve">"Waiver must be clear and unequivocal, and the party waiving must have knowledge of the right being waived."</w:t>
            </w:r>
          </w:p>
          <w:p>
            <w:pPr>
              <w:spacing w:after="120" w:line="408" w:lineRule="auto"/>
            </w:pPr>
            <w:r>
              <w:rPr>
                <w:rFonts w:ascii="Cambria" w:cs="Cambria" w:eastAsia="Cambria" w:hAnsi="Cambria"/>
                <w:b/>
                <w:bCs/>
                <w:i w:val="false"/>
                <w:iCs w:val="false"/>
                <w:strike w:val="false"/>
                <w:color w:val="000000"/>
                <w:sz w:val="22"/>
                <w:szCs w:val="22"/>
              </w:rPr>
              <w:t xml:space="preserve">Harelkin v. University of Regina, [1979] 2 SCR 561</w:t>
            </w:r>
          </w:p>
        </w:tc>
      </w:tr>
    </w:tbl>
    <w:p>
      <w:pPr>
        <w:spacing w:after="240" w:before="0"/>
      </w:pP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The Petitioner did not know the amendment had been made. He could not waive what he did not know had occurred.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E8E8E8" w:color="auto" w:val="clear"/>
            <w:tcMar>
              <w:top w:type="dxa" w:w="120"/>
              <w:left w:type="dxa" w:w="200"/>
              <w:bottom w:type="dxa" w:w="120"/>
              <w:right w:type="dxa" w:w="200"/>
            </w:tcMar>
          </w:tcPr>
          <w:p>
            <w:pPr>
              <w:spacing w:after="120" w:line="408" w:lineRule="auto"/>
            </w:pPr>
            <w:r>
              <w:rPr>
                <w:rFonts w:ascii="Cambria" w:cs="Cambria" w:eastAsia="Cambria" w:hAnsi="Cambria"/>
                <w:b/>
                <w:bCs/>
                <w:i w:val="false"/>
                <w:iCs w:val="false"/>
                <w:strike w:val="false"/>
                <w:color w:val="555555"/>
                <w:spacing w:val="15"/>
                <w:sz w:val="18"/>
                <w:szCs w:val="18"/>
              </w:rPr>
              <w:t xml:space="preserve">Section 3  —</w:t>
            </w:r>
          </w:p>
          <w:p>
            <w:pPr>
              <w:spacing w:after="120" w:line="408" w:lineRule="auto"/>
            </w:pPr>
            <w:r>
              <w:t xml:space="preserve">THE DUPLEX / ATTRIBUTION ERROR</w:t>
            </w:r>
          </w:p>
        </w:tc>
      </w:tr>
    </w:tbl>
    <w:p>
      <w:pPr>
        <w:spacing w:after="240" w:before="0"/>
      </w:pPr>
    </w:p>
    <w:p>
      <w:pPr>
        <w:pStyle w:val="Heading2"/>
        <w:spacing w:after="80" w:before="280" w:line="384" w:lineRule="auto"/>
      </w:pPr>
      <w:r>
        <w:rPr>
          <w:rFonts w:ascii="Cambria" w:cs="Cambria" w:eastAsia="Cambria" w:hAnsi="Cambria"/>
          <w:color w:val="000000"/>
          <w:sz w:val="24"/>
          <w:szCs w:val="24"/>
        </w:rPr>
        <w:t xml:space="preserve">The Three Addresses — What They Mean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4%"/>
            <w:shd w:fill="E8E8E8" w:color="auto" w:val="clear"/>
            <w:tcMar>
              <w:top w:type="dxa" w:w="90"/>
              <w:left w:type="dxa" w:w="150"/>
              <w:bottom w:type="dxa" w:w="90"/>
              <w:right w:type="dxa" w:w="150"/>
            </w:tcMar>
          </w:tcPr>
          <w:p>
            <w:r>
              <w:rPr>
                <w:rFonts w:ascii="Cambria" w:cs="Cambria" w:eastAsia="Cambria" w:hAnsi="Cambria"/>
                <w:b/>
                <w:bCs/>
                <w:i w:val="false"/>
                <w:iCs w:val="false"/>
                <w:strike w:val="false"/>
                <w:color w:val="000000"/>
                <w:sz w:val="21"/>
                <w:szCs w:val="21"/>
              </w:rPr>
              <w:t xml:space="preserve">Address</w:t>
            </w:r>
          </w:p>
        </w:tc>
        <w:tc>
          <w:tcPr>
            <w:tcW w:type="pct" w:w="76%"/>
            <w:shd w:fill="E8E8E8" w:color="auto" w:val="clear"/>
            <w:tcMar>
              <w:top w:type="dxa" w:w="90"/>
              <w:left w:type="dxa" w:w="150"/>
              <w:bottom w:type="dxa" w:w="90"/>
              <w:right w:type="dxa" w:w="150"/>
            </w:tcMar>
          </w:tcPr>
          <w:p>
            <w:r>
              <w:rPr>
                <w:rFonts w:ascii="Cambria" w:cs="Cambria" w:eastAsia="Cambria" w:hAnsi="Cambria"/>
                <w:b/>
                <w:bCs/>
                <w:i w:val="false"/>
                <w:iCs w:val="false"/>
                <w:strike w:val="false"/>
                <w:color w:val="000000"/>
                <w:sz w:val="21"/>
                <w:szCs w:val="21"/>
              </w:rPr>
              <w:t xml:space="preserve">What It Refers To</w:t>
            </w:r>
          </w:p>
        </w:tc>
      </w:tr>
      <w:tr>
        <w:trPr>
          <w:tblHeader w:val="false"/>
        </w:trPr>
        <w:tc>
          <w:tcPr>
            <w:tcW w:type="pct" w:w="24%"/>
            <w:tcMar>
              <w:top w:type="dxa" w:w="90"/>
              <w:left w:type="dxa" w:w="150"/>
              <w:bottom w:type="dxa" w:w="90"/>
              <w:right w:type="dxa" w:w="150"/>
            </w:tcMar>
          </w:tcPr>
          <w:p>
            <w:r>
              <w:rPr>
                <w:rFonts w:ascii="Cambria" w:cs="Cambria" w:eastAsia="Cambria" w:hAnsi="Cambria"/>
                <w:b/>
                <w:bCs/>
                <w:i w:val="false"/>
                <w:iCs w:val="false"/>
                <w:strike w:val="false"/>
                <w:color w:val="000000"/>
                <w:sz w:val="22"/>
                <w:szCs w:val="22"/>
              </w:rPr>
              <w:t xml:space="preserve">990A 13th Street</w:t>
            </w:r>
          </w:p>
        </w:tc>
        <w:tc>
          <w:tcPr>
            <w:tcW w:type="pct" w:w="76%"/>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The Petitioner's specific unit — one side of the duplex</w:t>
            </w:r>
          </w:p>
        </w:tc>
      </w:tr>
      <w:tr>
        <w:trPr>
          <w:tblHeader w:val="false"/>
        </w:trPr>
        <w:tc>
          <w:tcPr>
            <w:tcW w:type="pct" w:w="24%"/>
            <w:tcMar>
              <w:top w:type="dxa" w:w="90"/>
              <w:left w:type="dxa" w:w="150"/>
              <w:bottom w:type="dxa" w:w="90"/>
              <w:right w:type="dxa" w:w="150"/>
            </w:tcMar>
          </w:tcPr>
          <w:p>
            <w:r>
              <w:rPr>
                <w:rFonts w:ascii="Cambria" w:cs="Cambria" w:eastAsia="Cambria" w:hAnsi="Cambria"/>
                <w:b/>
                <w:bCs/>
                <w:i w:val="false"/>
                <w:iCs w:val="false"/>
                <w:strike w:val="false"/>
                <w:color w:val="000000"/>
                <w:sz w:val="22"/>
                <w:szCs w:val="22"/>
              </w:rPr>
              <w:t xml:space="preserve">990 13th Street</w:t>
            </w:r>
          </w:p>
        </w:tc>
        <w:tc>
          <w:tcPr>
            <w:tcW w:type="pct" w:w="76%"/>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The whole duplex property (post-amendment address used by arbitrator)</w:t>
            </w:r>
          </w:p>
        </w:tc>
      </w:tr>
      <w:tr>
        <w:trPr>
          <w:tblHeader w:val="false"/>
        </w:trPr>
        <w:tc>
          <w:tcPr>
            <w:tcW w:type="pct" w:w="24%"/>
            <w:tcMar>
              <w:top w:type="dxa" w:w="90"/>
              <w:left w:type="dxa" w:w="150"/>
              <w:bottom w:type="dxa" w:w="90"/>
              <w:right w:type="dxa" w:w="150"/>
            </w:tcMar>
          </w:tcPr>
          <w:p>
            <w:r>
              <w:rPr>
                <w:rFonts w:ascii="Cambria" w:cs="Cambria" w:eastAsia="Cambria" w:hAnsi="Cambria"/>
                <w:b/>
                <w:bCs/>
                <w:i w:val="false"/>
                <w:iCs w:val="false"/>
                <w:strike w:val="false"/>
                <w:color w:val="000000"/>
                <w:sz w:val="22"/>
                <w:szCs w:val="22"/>
              </w:rPr>
              <w:t xml:space="preserve">988 13th Street</w:t>
            </w:r>
          </w:p>
        </w:tc>
        <w:tc>
          <w:tcPr>
            <w:tcW w:type="pct" w:w="76%"/>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The other side of the duplex — a separate tenant, separate property</w:t>
            </w:r>
          </w:p>
        </w:tc>
      </w:tr>
    </w:tbl>
    <w:p>
      <w:pPr>
        <w:spacing w:after="200" w:before="0"/>
      </w:pPr>
    </w:p>
    <w:p>
      <w:pPr>
        <w:pStyle w:val="Heading2"/>
        <w:spacing w:after="80" w:before="280" w:line="384" w:lineRule="auto"/>
      </w:pPr>
      <w:r>
        <w:rPr>
          <w:rFonts w:ascii="Cambria" w:cs="Cambria" w:eastAsia="Cambria" w:hAnsi="Cambria"/>
          <w:color w:val="000000"/>
          <w:sz w:val="24"/>
          <w:szCs w:val="24"/>
        </w:rPr>
        <w:t xml:space="preserve">Key Facts</w:t>
      </w:r>
    </w:p>
    <w:p>
      <w:pPr>
        <w:pStyle w:val="ListParagraph"/>
        <w:numPr>
          <w:ilvl w:val="0"/>
          <w:numId w:val="1"/>
        </w:numPr>
        <w:spacing w:after="60" w:line="408" w:lineRule="auto"/>
        <w:ind w:left="720" w:hanging="360"/>
      </w:pPr>
      <w:r>
        <w:rPr>
          <w:rFonts w:ascii="Consolas" w:cs="Consolas" w:eastAsia="Consolas" w:hAnsi="Consolas"/>
          <w:b/>
          <w:bCs/>
          <w:i w:val="false"/>
          <w:iCs w:val="false"/>
          <w:strike w:val="false"/>
          <w:color w:val="000000"/>
          <w:sz w:val="19"/>
          <w:szCs w:val="19"/>
          <w:shd w:fill="F0F0F0" w:color="auto" w:val="clear"/>
        </w:rPr>
        <w:t xml:space="preserve">[04:05]</w:t>
      </w:r>
      <w:r>
        <w:rPr>
          <w:rFonts w:ascii="Cambria" w:cs="Cambria" w:eastAsia="Cambria" w:hAnsi="Cambria"/>
          <w:b w:val="false"/>
          <w:bCs w:val="false"/>
          <w:i w:val="false"/>
          <w:iCs w:val="false"/>
          <w:strike w:val="false"/>
          <w:color w:val="000000"/>
          <w:sz w:val="22"/>
          <w:szCs w:val="22"/>
        </w:rPr>
        <w:t xml:space="preserve"> Ms. Sanghera confirmed: </w:t>
      </w:r>
      <w:r>
        <w:rPr>
          <w:rFonts w:ascii="Cambria" w:cs="Cambria" w:eastAsia="Cambria" w:hAnsi="Cambria"/>
          <w:b w:val="false"/>
          <w:bCs w:val="false"/>
          <w:i/>
          <w:iCs/>
          <w:strike w:val="false"/>
          <w:color w:val="000000"/>
          <w:sz w:val="22"/>
          <w:szCs w:val="22"/>
        </w:rPr>
        <w:t xml:space="preserve">"It's a duplex... Mr. Owings occupies the 990 address, which is one side of the duplex."</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shd w:fill="FFFACD" w:color="auto" w:val="clear"/>
        </w:rPr>
        <w:t xml:space="preserve">CRITICAL:</w:t>
      </w:r>
      <w:r>
        <w:rPr>
          <w:rFonts w:ascii="Cambria" w:cs="Cambria" w:eastAsia="Cambria" w:hAnsi="Cambria"/>
          <w:b w:val="false"/>
          <w:bCs w:val="false"/>
          <w:i w:val="false"/>
          <w:iCs w:val="false"/>
          <w:strike w:val="false"/>
          <w:color w:val="000000"/>
          <w:sz w:val="22"/>
          <w:szCs w:val="22"/>
        </w:rPr>
        <w:t xml:space="preserve"> One City of Kamloops fine listed </w:t>
      </w:r>
      <w:r>
        <w:rPr>
          <w:rFonts w:ascii="Cambria" w:cs="Cambria" w:eastAsia="Cambria" w:hAnsi="Cambria"/>
          <w:b/>
          <w:bCs/>
          <w:i w:val="false"/>
          <w:iCs w:val="false"/>
          <w:strike w:val="false"/>
          <w:color w:val="000000"/>
          <w:sz w:val="22"/>
          <w:szCs w:val="22"/>
        </w:rPr>
        <w:t xml:space="preserve">both 988 AND 990</w:t>
      </w:r>
      <w:r>
        <w:rPr>
          <w:rFonts w:ascii="Cambria" w:cs="Cambria" w:eastAsia="Cambria" w:hAnsi="Cambria"/>
          <w:b w:val="false"/>
          <w:bCs w:val="false"/>
          <w:i w:val="false"/>
          <w:iCs w:val="false"/>
          <w:strike w:val="false"/>
          <w:color w:val="000000"/>
          <w:sz w:val="22"/>
          <w:szCs w:val="22"/>
        </w:rPr>
        <w:t xml:space="preserve"> 13th Street — proving the City treats these as separate properties when allocating liability. </w:t>
      </w:r>
      <w:r>
        <w:rPr>
          <w:rFonts w:ascii="Consolas" w:cs="Consolas" w:eastAsia="Consolas" w:hAnsi="Consolas"/>
          <w:b/>
          <w:bCs/>
          <w:i w:val="false"/>
          <w:iCs w:val="false"/>
          <w:strike w:val="false"/>
          <w:color w:val="000000"/>
          <w:sz w:val="19"/>
          <w:szCs w:val="19"/>
          <w:shd w:fill="F0F0F0" w:color="auto" w:val="clear"/>
        </w:rPr>
        <w:t xml:space="preserve">[28:53]</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By removing "A" from the address, the arbitrator made it impossible to distinguish the Petitioner's unit from the whole property.</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The RCMP letter covers "the above noted location" — the property as a whole, not specifically the Petitioner's unit.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9F9F9" w:color="auto" w:val="clear"/>
            <w:tcMar>
              <w:top w:type="dxa" w:w="200"/>
              <w:left w:type="dxa" w:w="280"/>
              <w:bottom w:type="dxa" w:w="200"/>
              <w:right w:type="dxa" w:w="280"/>
            </w:tcMar>
          </w:tcPr>
          <w:p>
            <w:pPr>
              <w:spacing w:after="120" w:line="408" w:lineRule="auto"/>
            </w:pPr>
            <w:r>
              <w:rPr>
                <w:b/>
                <w:bCs/>
                <w:i w:val="false"/>
                <w:iCs w:val="false"/>
                <w:color w:val="333333"/>
              </w:rPr>
              <w:t xml:space="preserve">▶ If the Judge Asks About Attribution</w:t>
            </w:r>
          </w:p>
          <w:p>
            <w:pPr>
              <w:spacing w:after="80" w:line="384" w:lineRule="auto"/>
            </w:pPr>
            <w:r>
              <w:rPr>
                <w:rFonts w:ascii="Cambria" w:cs="Cambria" w:eastAsia="Cambria" w:hAnsi="Cambria"/>
                <w:b w:val="false"/>
                <w:bCs w:val="false"/>
                <w:i w:val="false"/>
                <w:iCs w:val="false"/>
                <w:strike w:val="false"/>
                <w:color w:val="000000"/>
                <w:sz w:val="21"/>
                <w:szCs w:val="21"/>
              </w:rPr>
              <w:t xml:space="preserve">"Your Honour, the transcript proves this is a duplex with at least two distinct rental units — 990A (mine) and 988 (a different tenant). The landlord's own evidence included a fine that listed both addresses, which confirms the City distinguishes between them. The RCMP letter covers 'the above noted location' — the property as a whole, not just my unit. By changing the address identifier, the arbitrator allowed the Respondents to present property-wide issues as if they were specific to me. I had no opportunity to challenge that attribution because the foundational address question was resolved before I was on the call."</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E8E8E8" w:color="auto" w:val="clear"/>
            <w:tcMar>
              <w:top w:type="dxa" w:w="120"/>
              <w:left w:type="dxa" w:w="200"/>
              <w:bottom w:type="dxa" w:w="120"/>
              <w:right w:type="dxa" w:w="200"/>
            </w:tcMar>
          </w:tcPr>
          <w:p>
            <w:pPr>
              <w:spacing w:after="120" w:line="408" w:lineRule="auto"/>
            </w:pPr>
            <w:r>
              <w:rPr>
                <w:rFonts w:ascii="Cambria" w:cs="Cambria" w:eastAsia="Cambria" w:hAnsi="Cambria"/>
                <w:b/>
                <w:bCs/>
                <w:i w:val="false"/>
                <w:iCs w:val="false"/>
                <w:strike w:val="false"/>
                <w:color w:val="555555"/>
                <w:spacing w:val="15"/>
                <w:sz w:val="18"/>
                <w:szCs w:val="18"/>
              </w:rPr>
              <w:t xml:space="preserve">Section 4  —</w:t>
            </w:r>
          </w:p>
          <w:p>
            <w:pPr>
              <w:spacing w:after="120" w:line="408" w:lineRule="auto"/>
            </w:pPr>
            <w:r>
              <w:t xml:space="preserve">EVIDENCE DISCLOSURE FAILURES</w:t>
            </w:r>
          </w:p>
        </w:tc>
      </w:tr>
    </w:tbl>
    <w:p>
      <w:pPr>
        <w:spacing w:after="240" w:before="0"/>
      </w:pPr>
    </w:p>
    <w:p>
      <w:pPr>
        <w:pStyle w:val="Heading2"/>
        <w:spacing w:after="80" w:before="280" w:line="384" w:lineRule="auto"/>
      </w:pPr>
      <w:r>
        <w:rPr>
          <w:rFonts w:ascii="Cambria" w:cs="Cambria" w:eastAsia="Cambria" w:hAnsi="Cambria"/>
          <w:color w:val="000000"/>
          <w:sz w:val="24"/>
          <w:szCs w:val="24"/>
        </w:rPr>
        <w:t xml:space="preserve">Key Facts</w:t>
      </w:r>
    </w:p>
    <w:p>
      <w:pPr>
        <w:pStyle w:val="ListParagraph"/>
        <w:numPr>
          <w:ilvl w:val="0"/>
          <w:numId w:val="1"/>
        </w:numPr>
        <w:spacing w:after="60" w:line="408" w:lineRule="auto"/>
        <w:ind w:left="720" w:hanging="360"/>
      </w:pPr>
      <w:r>
        <w:rPr>
          <w:rFonts w:ascii="Consolas" w:cs="Consolas" w:eastAsia="Consolas" w:hAnsi="Consolas"/>
          <w:b/>
          <w:bCs/>
          <w:i w:val="false"/>
          <w:iCs w:val="false"/>
          <w:strike w:val="false"/>
          <w:color w:val="000000"/>
          <w:sz w:val="19"/>
          <w:szCs w:val="19"/>
          <w:shd w:fill="F0F0F0" w:color="auto" w:val="clear"/>
        </w:rPr>
        <w:t xml:space="preserve">[46:35]</w:t>
      </w:r>
      <w:r>
        <w:rPr>
          <w:rFonts w:ascii="Cambria" w:cs="Cambria" w:eastAsia="Cambria" w:hAnsi="Cambria"/>
          <w:b w:val="false"/>
          <w:bCs w:val="false"/>
          <w:i w:val="false"/>
          <w:iCs w:val="false"/>
          <w:strike w:val="false"/>
          <w:color w:val="000000"/>
          <w:sz w:val="22"/>
          <w:szCs w:val="22"/>
        </w:rPr>
        <w:t xml:space="preserve"> Counsel Dhaliwal: </w:t>
      </w:r>
      <w:r>
        <w:rPr>
          <w:rFonts w:ascii="Cambria" w:cs="Cambria" w:eastAsia="Cambria" w:hAnsi="Cambria"/>
          <w:b w:val="false"/>
          <w:bCs w:val="false"/>
          <w:i/>
          <w:iCs/>
          <w:strike w:val="false"/>
          <w:color w:val="000000"/>
          <w:sz w:val="22"/>
          <w:szCs w:val="22"/>
        </w:rPr>
        <w:t xml:space="preserve">"It's not legible evidence at least."</w:t>
      </w:r>
      <w:r>
        <w:rPr>
          <w:rFonts w:ascii="Cambria" w:cs="Cambria" w:eastAsia="Cambria" w:hAnsi="Cambria"/>
          <w:b w:val="false"/>
          <w:bCs w:val="false"/>
          <w:i w:val="false"/>
          <w:iCs w:val="false"/>
          <w:strike w:val="false"/>
          <w:color w:val="000000"/>
          <w:sz w:val="22"/>
          <w:szCs w:val="22"/>
        </w:rPr>
        <w:t xml:space="preserve"> — the Petitioner's evidence was characterized as illegible; no adjournment was granted.</w:t>
      </w:r>
    </w:p>
    <w:p>
      <w:pPr>
        <w:pStyle w:val="ListParagraph"/>
        <w:numPr>
          <w:ilvl w:val="0"/>
          <w:numId w:val="1"/>
        </w:numPr>
        <w:spacing w:after="60" w:line="408" w:lineRule="auto"/>
        <w:ind w:left="720" w:hanging="360"/>
      </w:pPr>
      <w:r>
        <w:rPr>
          <w:rFonts w:ascii="Consolas" w:cs="Consolas" w:eastAsia="Consolas" w:hAnsi="Consolas"/>
          <w:b/>
          <w:bCs/>
          <w:i w:val="false"/>
          <w:iCs w:val="false"/>
          <w:strike w:val="false"/>
          <w:color w:val="000000"/>
          <w:sz w:val="19"/>
          <w:szCs w:val="19"/>
          <w:shd w:fill="F0F0F0" w:color="auto" w:val="clear"/>
        </w:rPr>
        <w:t xml:space="preserve">[48:24]</w:t>
      </w:r>
      <w:r>
        <w:rPr>
          <w:rFonts w:ascii="Cambria" w:cs="Cambria" w:eastAsia="Cambria" w:hAnsi="Cambria"/>
          <w:b w:val="false"/>
          <w:bCs w:val="false"/>
          <w:i w:val="false"/>
          <w:iCs w:val="false"/>
          <w:strike w:val="false"/>
          <w:color w:val="000000"/>
          <w:sz w:val="22"/>
          <w:szCs w:val="22"/>
        </w:rPr>
        <w:t xml:space="preserve"> Petitioner stated: </w:t>
      </w:r>
      <w:r>
        <w:rPr>
          <w:rFonts w:ascii="Cambria" w:cs="Cambria" w:eastAsia="Cambria" w:hAnsi="Cambria"/>
          <w:b w:val="false"/>
          <w:bCs w:val="false"/>
          <w:i/>
          <w:iCs/>
          <w:strike w:val="false"/>
          <w:color w:val="000000"/>
          <w:sz w:val="22"/>
          <w:szCs w:val="22"/>
        </w:rPr>
        <w:t xml:space="preserve">"I'm not aware of these emails. They're not in the package delivered on December 3rd. I don't have those emails."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The Petitioner did not receive a complete evidence package.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The hearing proceeded with evidence on the Respondents' side that the Petitioner had neither received nor reviewed.</w:t>
      </w:r>
    </w:p>
    <w:p>
      <w:pPr>
        <w:pStyle w:val="Heading2"/>
        <w:spacing w:after="80" w:before="280" w:line="384" w:lineRule="auto"/>
      </w:pPr>
      <w:r>
        <w:rPr>
          <w:rFonts w:ascii="Cambria" w:cs="Cambria" w:eastAsia="Cambria" w:hAnsi="Cambria"/>
          <w:color w:val="000000"/>
          <w:sz w:val="24"/>
          <w:szCs w:val="24"/>
        </w:rPr>
        <w:t xml:space="preserve">Legal Principle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AFAFA" w:color="auto" w:val="clear"/>
            <w:tcMar>
              <w:top w:type="dxa" w:w="120"/>
              <w:left w:type="dxa" w:w="240"/>
              <w:bottom w:type="dxa" w:w="120"/>
              <w:right w:type="dxa" w:w="240"/>
            </w:tcMar>
          </w:tcPr>
          <w:p>
            <w:pPr>
              <w:spacing w:after="120" w:line="408" w:lineRule="auto"/>
            </w:pPr>
            <w:r>
              <w:rPr>
                <w:i/>
                <w:iCs/>
              </w:rPr>
              <w:t xml:space="preserve">"Even prisoners have the right to know the case against them and to respond meaningfully."</w:t>
            </w:r>
          </w:p>
          <w:p>
            <w:pPr>
              <w:spacing w:after="120" w:line="408" w:lineRule="auto"/>
            </w:pPr>
            <w:r>
              <w:rPr>
                <w:rFonts w:ascii="Cambria" w:cs="Cambria" w:eastAsia="Cambria" w:hAnsi="Cambria"/>
                <w:b/>
                <w:bCs/>
                <w:i w:val="false"/>
                <w:iCs w:val="false"/>
                <w:strike w:val="false"/>
                <w:color w:val="000000"/>
                <w:sz w:val="22"/>
                <w:szCs w:val="22"/>
              </w:rPr>
              <w:t xml:space="preserve">Cardinal v. Director of Kent Institution, [1985] 2 SCR 643</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9F9F9" w:color="auto" w:val="clear"/>
            <w:tcMar>
              <w:top w:type="dxa" w:w="200"/>
              <w:left w:type="dxa" w:w="280"/>
              <w:bottom w:type="dxa" w:w="200"/>
              <w:right w:type="dxa" w:w="280"/>
            </w:tcMar>
          </w:tcPr>
          <w:p>
            <w:pPr>
              <w:spacing w:after="120" w:line="408" w:lineRule="auto"/>
            </w:pPr>
            <w:r>
              <w:rPr>
                <w:b/>
                <w:bCs/>
                <w:i w:val="false"/>
                <w:iCs w:val="false"/>
                <w:color w:val="333333"/>
              </w:rPr>
              <w:t xml:space="preserve">▶ If the Judge Asks About Disclosure</w:t>
            </w:r>
          </w:p>
          <w:p>
            <w:pPr>
              <w:spacing w:after="80" w:line="384" w:lineRule="auto"/>
            </w:pPr>
            <w:r>
              <w:rPr>
                <w:rFonts w:ascii="Cambria" w:cs="Cambria" w:eastAsia="Cambria" w:hAnsi="Cambria"/>
                <w:b w:val="false"/>
                <w:bCs w:val="false"/>
                <w:i w:val="false"/>
                <w:iCs w:val="false"/>
                <w:strike w:val="false"/>
                <w:color w:val="000000"/>
                <w:sz w:val="21"/>
                <w:szCs w:val="21"/>
              </w:rPr>
              <w:t xml:space="preserve">"Your Honour, I couldn't respond to evidence I didn't receive or couldn't read. This is the most basic requirement of a fair hearing — to know the case against me. </w:t>
            </w:r>
            <w:r>
              <w:rPr>
                <w:rFonts w:ascii="Cambria" w:cs="Cambria" w:eastAsia="Cambria" w:hAnsi="Cambria"/>
                <w:b w:val="false"/>
                <w:bCs w:val="false"/>
                <w:i/>
                <w:iCs/>
                <w:strike w:val="false"/>
                <w:color w:val="000000"/>
                <w:sz w:val="22"/>
                <w:szCs w:val="22"/>
              </w:rPr>
              <w:t xml:space="preserve">Cardinal</w:t>
            </w:r>
            <w:r>
              <w:rPr>
                <w:rFonts w:ascii="Cambria" w:cs="Cambria" w:eastAsia="Cambria" w:hAnsi="Cambria"/>
                <w:b w:val="false"/>
                <w:bCs w:val="false"/>
                <w:i w:val="false"/>
                <w:iCs w:val="false"/>
                <w:strike w:val="false"/>
                <w:color w:val="000000"/>
                <w:sz w:val="21"/>
                <w:szCs w:val="21"/>
              </w:rPr>
              <w:t xml:space="preserve"> says even prisoners get this right. The hearing proceeded with evidence on the Respondents' side that I had neither received nor reviewed."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E8E8E8" w:color="auto" w:val="clear"/>
            <w:tcMar>
              <w:top w:type="dxa" w:w="120"/>
              <w:left w:type="dxa" w:w="200"/>
              <w:bottom w:type="dxa" w:w="120"/>
              <w:right w:type="dxa" w:w="200"/>
            </w:tcMar>
          </w:tcPr>
          <w:p>
            <w:pPr>
              <w:spacing w:after="120" w:line="408" w:lineRule="auto"/>
            </w:pPr>
            <w:r>
              <w:rPr>
                <w:rFonts w:ascii="Cambria" w:cs="Cambria" w:eastAsia="Cambria" w:hAnsi="Cambria"/>
                <w:b/>
                <w:bCs/>
                <w:i w:val="false"/>
                <w:iCs w:val="false"/>
                <w:strike w:val="false"/>
                <w:color w:val="555555"/>
                <w:spacing w:val="15"/>
                <w:sz w:val="18"/>
                <w:szCs w:val="18"/>
              </w:rPr>
              <w:t xml:space="preserve">Section 5  —</w:t>
            </w:r>
          </w:p>
          <w:p>
            <w:pPr>
              <w:spacing w:after="120" w:line="408" w:lineRule="auto"/>
            </w:pPr>
            <w:r>
              <w:t xml:space="preserve">APPEARANCE OF PREDETERMINATION</w:t>
            </w:r>
          </w:p>
        </w:tc>
      </w:tr>
    </w:tbl>
    <w:p>
      <w:pPr>
        <w:spacing w:after="240" w:before="0"/>
      </w:pPr>
    </w:p>
    <w:p>
      <w:pPr>
        <w:pStyle w:val="Heading2"/>
        <w:spacing w:after="80" w:before="280" w:line="384" w:lineRule="auto"/>
      </w:pPr>
      <w:r>
        <w:rPr>
          <w:rFonts w:ascii="Cambria" w:cs="Cambria" w:eastAsia="Cambria" w:hAnsi="Cambria"/>
          <w:color w:val="000000"/>
          <w:sz w:val="24"/>
          <w:szCs w:val="24"/>
        </w:rPr>
        <w:t xml:space="preserve">Three Settlement Pushes — Before Evidentiary Questions Were Complete</w:t>
      </w:r>
    </w:p>
    <w:p>
      <w:pPr>
        <w:pStyle w:val="ListParagraph"/>
        <w:numPr>
          <w:ilvl w:val="0"/>
          <w:numId w:val="2"/>
        </w:numPr>
        <w:spacing w:after="60" w:line="408" w:lineRule="auto"/>
        <w:ind w:left="720" w:hanging="360"/>
      </w:pPr>
      <w:r>
        <w:rPr>
          <w:rFonts w:ascii="Consolas" w:cs="Consolas" w:eastAsia="Consolas" w:hAnsi="Consolas"/>
          <w:b/>
          <w:bCs/>
          <w:i w:val="false"/>
          <w:iCs w:val="false"/>
          <w:strike w:val="false"/>
          <w:color w:val="000000"/>
          <w:sz w:val="19"/>
          <w:szCs w:val="19"/>
          <w:shd w:fill="F0F0F0" w:color="auto" w:val="clear"/>
        </w:rPr>
        <w:t xml:space="preserve">[51:16]</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FIRST push</w:t>
      </w:r>
      <w:r>
        <w:rPr>
          <w:rFonts w:ascii="Cambria" w:cs="Cambria" w:eastAsia="Cambria" w:hAnsi="Cambria"/>
          <w:b w:val="false"/>
          <w:bCs w:val="false"/>
          <w:i w:val="false"/>
          <w:iCs w:val="false"/>
          <w:strike w:val="false"/>
          <w:color w:val="000000"/>
          <w:sz w:val="22"/>
          <w:szCs w:val="22"/>
        </w:rPr>
        <w:t xml:space="preserve"> — Arbitrator defers his own evidentiary questions to ask about settlement first.</w:t>
      </w:r>
    </w:p>
    <w:p>
      <w:pPr>
        <w:pStyle w:val="ListParagraph"/>
        <w:numPr>
          <w:ilvl w:val="0"/>
          <w:numId w:val="2"/>
        </w:numPr>
        <w:spacing w:after="60" w:line="408" w:lineRule="auto"/>
        <w:ind w:left="720" w:hanging="360"/>
      </w:pPr>
      <w:r>
        <w:rPr>
          <w:rFonts w:ascii="Consolas" w:cs="Consolas" w:eastAsia="Consolas" w:hAnsi="Consolas"/>
          <w:b/>
          <w:bCs/>
          <w:i w:val="false"/>
          <w:iCs w:val="false"/>
          <w:strike w:val="false"/>
          <w:color w:val="000000"/>
          <w:sz w:val="19"/>
          <w:szCs w:val="19"/>
          <w:shd w:fill="F0F0F0" w:color="auto" w:val="clear"/>
        </w:rPr>
        <w:t xml:space="preserve">[53:08]</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SECOND push</w:t>
      </w:r>
      <w:r>
        <w:rPr>
          <w:rFonts w:ascii="Cambria" w:cs="Cambria" w:eastAsia="Cambria" w:hAnsi="Cambria"/>
          <w:b w:val="false"/>
          <w:bCs w:val="false"/>
          <w:i w:val="false"/>
          <w:iCs w:val="false"/>
          <w:strike w:val="false"/>
          <w:color w:val="000000"/>
          <w:sz w:val="22"/>
          <w:szCs w:val="22"/>
        </w:rPr>
        <w:t xml:space="preserve"> — Arbitrator frames the options as "extreme" and asks for "something in the middle."</w:t>
      </w:r>
    </w:p>
    <w:p>
      <w:pPr>
        <w:pStyle w:val="ListParagraph"/>
        <w:numPr>
          <w:ilvl w:val="0"/>
          <w:numId w:val="2"/>
        </w:numPr>
        <w:spacing w:after="60" w:line="408" w:lineRule="auto"/>
        <w:ind w:left="720" w:hanging="360"/>
      </w:pPr>
      <w:r>
        <w:rPr>
          <w:rFonts w:ascii="Consolas" w:cs="Consolas" w:eastAsia="Consolas" w:hAnsi="Consolas"/>
          <w:b/>
          <w:bCs/>
          <w:i w:val="false"/>
          <w:iCs w:val="false"/>
          <w:strike w:val="false"/>
          <w:color w:val="000000"/>
          <w:sz w:val="19"/>
          <w:szCs w:val="19"/>
          <w:shd w:fill="F0F0F0" w:color="auto" w:val="clear"/>
        </w:rPr>
        <w:t xml:space="preserve">[53:34]</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shd w:fill="FFFACD" w:color="auto" w:val="clear"/>
        </w:rPr>
        <w:t xml:space="preserve">CRITICAL QUOTE</w:t>
      </w:r>
      <w:r>
        <w:rPr>
          <w:rFonts w:ascii="Cambria" w:cs="Cambria" w:eastAsia="Cambria" w:hAnsi="Cambria"/>
          <w:b w:val="false"/>
          <w:bCs w:val="false"/>
          <w:i w:val="false"/>
          <w:iCs w:val="false"/>
          <w:strike w:val="false"/>
          <w:color w:val="000000"/>
          <w:sz w:val="22"/>
          <w:szCs w:val="22"/>
        </w:rPr>
        <w:t xml:space="preserve"> — Arbitrator states: </w:t>
      </w:r>
      <w:r>
        <w:rPr>
          <w:rFonts w:ascii="Cambria" w:cs="Cambria" w:eastAsia="Cambria" w:hAnsi="Cambria"/>
          <w:b w:val="false"/>
          <w:bCs w:val="false"/>
          <w:i/>
          <w:iCs/>
          <w:strike w:val="false"/>
          <w:color w:val="000000"/>
          <w:sz w:val="22"/>
          <w:szCs w:val="22"/>
        </w:rPr>
        <w:t xml:space="preserve">"I just know that if you agree to a settlement, there wouldn't be any findings — as the council suggested. There wouldn't be any findings about whether conduct was improper or not."</w:t>
      </w:r>
    </w:p>
    <w:p>
      <w:pPr>
        <w:pStyle w:val="ListParagraph"/>
        <w:numPr>
          <w:ilvl w:val="0"/>
          <w:numId w:val="2"/>
        </w:numPr>
        <w:spacing w:after="60" w:line="408" w:lineRule="auto"/>
        <w:ind w:left="720" w:hanging="360"/>
      </w:pPr>
      <w:r>
        <w:rPr>
          <w:rFonts w:ascii="Consolas" w:cs="Consolas" w:eastAsia="Consolas" w:hAnsi="Consolas"/>
          <w:b/>
          <w:bCs/>
          <w:i w:val="false"/>
          <w:iCs w:val="false"/>
          <w:strike w:val="false"/>
          <w:color w:val="000000"/>
          <w:sz w:val="19"/>
          <w:szCs w:val="19"/>
          <w:shd w:fill="F0F0F0" w:color="auto" w:val="clear"/>
        </w:rPr>
        <w:t xml:space="preserve">[56:11]</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THIRD push</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"Is it correct that you can't see any possibility of negotiating an end to the tenancy?"</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The Arbitrator returned to his evidentiary questions only </w:t>
      </w:r>
      <w:r>
        <w:rPr>
          <w:rFonts w:ascii="Cambria" w:cs="Cambria" w:eastAsia="Cambria" w:hAnsi="Cambria"/>
          <w:b/>
          <w:bCs/>
          <w:i w:val="false"/>
          <w:iCs w:val="false"/>
          <w:strike w:val="false"/>
          <w:color w:val="000000"/>
          <w:sz w:val="22"/>
          <w:szCs w:val="22"/>
        </w:rPr>
        <w:t xml:space="preserve">after</w:t>
      </w:r>
      <w:r>
        <w:rPr>
          <w:rFonts w:ascii="Cambria" w:cs="Cambria" w:eastAsia="Cambria" w:hAnsi="Cambria"/>
          <w:b w:val="false"/>
          <w:bCs w:val="false"/>
          <w:i w:val="false"/>
          <w:iCs w:val="false"/>
          <w:strike w:val="false"/>
          <w:color w:val="000000"/>
          <w:sz w:val="22"/>
          <w:szCs w:val="22"/>
        </w:rPr>
        <w:t xml:space="preserve"> three failed settlement attempts.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FF8DC" w:color="auto" w:val="clear"/>
            <w:tcMar>
              <w:top w:type="dxa" w:w="160"/>
              <w:left w:type="dxa" w:w="240"/>
              <w:bottom w:type="dxa" w:w="160"/>
              <w:right w:type="dxa" w:w="240"/>
            </w:tcMar>
          </w:tcPr>
          <w:p>
            <w:pPr>
              <w:spacing w:after="120" w:line="408" w:lineRule="auto"/>
            </w:pPr>
            <w:r>
              <w:t xml:space="preserve">The Significance of "No Findings":</w:t>
            </w:r>
          </w:p>
          <w:p>
            <w:pPr>
              <w:spacing w:after="120" w:line="408" w:lineRule="auto"/>
            </w:pPr>
            <w:r>
              <w:t xml:space="preserve">"No findings" is only an inducement to settle if the decision-maker already believes the findings will be adverse. Why else would the</w:t>
            </w:r>
          </w:p>
          <w:p>
            <w:pPr>
              <w:spacing w:after="120" w:line="408" w:lineRule="auto"/>
            </w:pPr>
            <w:r>
              <w:t xml:space="preserve">absence</w:t>
            </w:r>
          </w:p>
          <w:p>
            <w:pPr>
              <w:spacing w:after="120" w:line="408" w:lineRule="auto"/>
            </w:pPr>
            <w:r>
              <w:t xml:space="preserve">of findings benefit the Petitioner?</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9F9F9" w:color="auto" w:val="clear"/>
            <w:tcMar>
              <w:top w:type="dxa" w:w="200"/>
              <w:left w:type="dxa" w:w="280"/>
              <w:bottom w:type="dxa" w:w="200"/>
              <w:right w:type="dxa" w:w="280"/>
            </w:tcMar>
          </w:tcPr>
          <w:p>
            <w:pPr>
              <w:spacing w:after="120" w:line="408" w:lineRule="auto"/>
            </w:pPr>
            <w:r>
              <w:rPr>
                <w:b/>
                <w:bCs/>
                <w:i w:val="false"/>
                <w:iCs w:val="false"/>
                <w:color w:val="333333"/>
              </w:rPr>
              <w:t xml:space="preserve">▶ If the Judge Asks About Predetermination</w:t>
            </w:r>
          </w:p>
          <w:p>
            <w:pPr>
              <w:spacing w:after="80" w:line="384" w:lineRule="auto"/>
            </w:pPr>
            <w:r>
              <w:rPr>
                <w:rFonts w:ascii="Cambria" w:cs="Cambria" w:eastAsia="Cambria" w:hAnsi="Cambria"/>
                <w:b w:val="false"/>
                <w:bCs w:val="false"/>
                <w:i w:val="false"/>
                <w:iCs w:val="false"/>
                <w:strike w:val="false"/>
                <w:color w:val="000000"/>
                <w:sz w:val="21"/>
                <w:szCs w:val="21"/>
              </w:rPr>
              <w:t xml:space="preserve">"Your Honour, I'm not alleging actual bias. But I am saying that a reasonable and informed observer, looking at this transcript, would have cause to apprehend that the arbitrator had already formed a view before completing the evidentiary phase. The offer of 'no findings' as a reason to settle only makes sense if the arbitrator already believed the findings would go against me. </w:t>
            </w:r>
            <w:r>
              <w:rPr>
                <w:rFonts w:ascii="Cambria" w:cs="Cambria" w:eastAsia="Cambria" w:hAnsi="Cambria"/>
                <w:b w:val="false"/>
                <w:bCs w:val="false"/>
                <w:i/>
                <w:iCs/>
                <w:strike w:val="false"/>
                <w:color w:val="000000"/>
                <w:sz w:val="22"/>
                <w:szCs w:val="22"/>
              </w:rPr>
              <w:t xml:space="preserve">Baker</w:t>
            </w:r>
            <w:r>
              <w:rPr>
                <w:rFonts w:ascii="Cambria" w:cs="Cambria" w:eastAsia="Cambria" w:hAnsi="Cambria"/>
                <w:b w:val="false"/>
                <w:bCs w:val="false"/>
                <w:i w:val="false"/>
                <w:iCs w:val="false"/>
                <w:strike w:val="false"/>
                <w:color w:val="000000"/>
                <w:sz w:val="21"/>
                <w:szCs w:val="21"/>
              </w:rPr>
              <w:t xml:space="preserve"> requires an open and impartial mind. The pattern here — three settlement pushes before the Arbitrator's own questions were finished — raises a serious question about whether that standard was met."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E8E8E8" w:color="auto" w:val="clear"/>
            <w:tcMar>
              <w:top w:type="dxa" w:w="120"/>
              <w:left w:type="dxa" w:w="200"/>
              <w:bottom w:type="dxa" w:w="120"/>
              <w:right w:type="dxa" w:w="200"/>
            </w:tcMar>
          </w:tcPr>
          <w:p>
            <w:pPr>
              <w:spacing w:after="120" w:line="408" w:lineRule="auto"/>
            </w:pPr>
            <w:r>
              <w:rPr>
                <w:rFonts w:ascii="Cambria" w:cs="Cambria" w:eastAsia="Cambria" w:hAnsi="Cambria"/>
                <w:b/>
                <w:bCs/>
                <w:i w:val="false"/>
                <w:iCs w:val="false"/>
                <w:strike w:val="false"/>
                <w:color w:val="555555"/>
                <w:spacing w:val="15"/>
                <w:sz w:val="18"/>
                <w:szCs w:val="18"/>
              </w:rPr>
              <w:t xml:space="preserve">Section 6  —</w:t>
            </w:r>
          </w:p>
          <w:p>
            <w:pPr>
              <w:spacing w:after="120" w:line="408" w:lineRule="auto"/>
            </w:pPr>
            <w:r>
              <w:t xml:space="preserve">UNSWORN ASSERTIONS (Bonus Ground)</w:t>
            </w:r>
          </w:p>
        </w:tc>
      </w:tr>
    </w:tbl>
    <w:p>
      <w:pPr>
        <w:spacing w:after="240" w:before="0"/>
      </w:pPr>
    </w:p>
    <w:p>
      <w:pPr>
        <w:pStyle w:val="Heading2"/>
        <w:spacing w:after="80" w:before="280" w:line="384" w:lineRule="auto"/>
      </w:pPr>
      <w:r>
        <w:rPr>
          <w:rFonts w:ascii="Cambria" w:cs="Cambria" w:eastAsia="Cambria" w:hAnsi="Cambria"/>
          <w:color w:val="000000"/>
          <w:sz w:val="24"/>
          <w:szCs w:val="24"/>
        </w:rPr>
        <w:t xml:space="preserve">Key Facts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No sworn testimony was given on the landlord's side.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Landlord Gurmail Singh Sanghera: </w:t>
      </w:r>
      <w:r>
        <w:rPr>
          <w:rFonts w:ascii="Cambria" w:cs="Cambria" w:eastAsia="Cambria" w:hAnsi="Cambria"/>
          <w:b/>
          <w:bCs/>
          <w:i w:val="false"/>
          <w:iCs w:val="false"/>
          <w:strike w:val="false"/>
          <w:color w:val="000000"/>
          <w:sz w:val="22"/>
          <w:szCs w:val="22"/>
        </w:rPr>
        <w:t xml:space="preserve">NOT PRESENT</w:t>
      </w:r>
      <w:r>
        <w:rPr>
          <w:rFonts w:ascii="Cambria" w:cs="Cambria" w:eastAsia="Cambria" w:hAnsi="Cambria"/>
          <w:b w:val="false"/>
          <w:bCs w:val="false"/>
          <w:i w:val="false"/>
          <w:iCs w:val="false"/>
          <w:strike w:val="false"/>
          <w:color w:val="000000"/>
          <w:sz w:val="22"/>
          <w:szCs w:val="22"/>
        </w:rPr>
        <w:t xml:space="preserve"> — confirmed at </w:t>
      </w:r>
      <w:r>
        <w:rPr>
          <w:rFonts w:ascii="Consolas" w:cs="Consolas" w:eastAsia="Consolas" w:hAnsi="Consolas"/>
          <w:b/>
          <w:bCs/>
          <w:i w:val="false"/>
          <w:iCs w:val="false"/>
          <w:strike w:val="false"/>
          <w:color w:val="000000"/>
          <w:sz w:val="19"/>
          <w:szCs w:val="19"/>
          <w:shd w:fill="F0F0F0" w:color="auto" w:val="clear"/>
        </w:rPr>
        <w:t xml:space="preserve">[08:39]</w:t>
      </w:r>
      <w:r>
        <w:rPr>
          <w:rFonts w:ascii="Cambria" w:cs="Cambria" w:eastAsia="Cambria" w:hAnsi="Cambria"/>
          <w:b w:val="false"/>
          <w:bCs w:val="false"/>
          <w:i w:val="false"/>
          <w:iCs w:val="false"/>
          <w:strike w:val="false"/>
          <w:color w:val="000000"/>
          <w:sz w:val="22"/>
          <w:szCs w:val="22"/>
        </w:rPr>
        <w:t xml:space="preserve">–</w:t>
      </w:r>
      <w:r>
        <w:rPr>
          <w:rFonts w:ascii="Consolas" w:cs="Consolas" w:eastAsia="Consolas" w:hAnsi="Consolas"/>
          <w:b/>
          <w:bCs/>
          <w:i w:val="false"/>
          <w:iCs w:val="false"/>
          <w:strike w:val="false"/>
          <w:color w:val="000000"/>
          <w:sz w:val="19"/>
          <w:szCs w:val="19"/>
          <w:shd w:fill="F0F0F0" w:color="auto" w:val="clear"/>
        </w:rPr>
        <w:t xml:space="preserve">[08:45]</w:t>
      </w:r>
      <w:r>
        <w:rPr>
          <w:rFonts w:ascii="Cambria" w:cs="Cambria" w:eastAsia="Cambria" w:hAnsi="Cambria"/>
          <w:b w:val="false"/>
          <w:bCs w:val="false"/>
          <w:i w:val="false"/>
          <w:iCs w:val="false"/>
          <w:strike w:val="false"/>
          <w:color w:val="000000"/>
          <w:sz w:val="22"/>
          <w:szCs w:val="22"/>
        </w:rPr>
        <w:t xml:space="preserv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Counsel's role: </w:t>
      </w:r>
      <w:r>
        <w:rPr>
          <w:rFonts w:ascii="Cambria" w:cs="Cambria" w:eastAsia="Cambria" w:hAnsi="Cambria"/>
          <w:b/>
          <w:bCs/>
          <w:i w:val="false"/>
          <w:iCs w:val="false"/>
          <w:strike w:val="false"/>
          <w:color w:val="000000"/>
          <w:sz w:val="22"/>
          <w:szCs w:val="22"/>
        </w:rPr>
        <w:t xml:space="preserve">"submissions only"</w:t>
      </w:r>
      <w:r>
        <w:rPr>
          <w:rFonts w:ascii="Cambria" w:cs="Cambria" w:eastAsia="Cambria" w:hAnsi="Cambria"/>
          <w:b w:val="false"/>
          <w:bCs w:val="false"/>
          <w:i w:val="false"/>
          <w:iCs w:val="false"/>
          <w:strike w:val="false"/>
          <w:color w:val="000000"/>
          <w:sz w:val="22"/>
          <w:szCs w:val="22"/>
        </w:rPr>
        <w:t xml:space="preserve"> — confirmed at </w:t>
      </w:r>
      <w:r>
        <w:rPr>
          <w:rFonts w:ascii="Consolas" w:cs="Consolas" w:eastAsia="Consolas" w:hAnsi="Consolas"/>
          <w:b/>
          <w:bCs/>
          <w:i w:val="false"/>
          <w:iCs w:val="false"/>
          <w:strike w:val="false"/>
          <w:color w:val="000000"/>
          <w:sz w:val="19"/>
          <w:szCs w:val="19"/>
          <w:shd w:fill="F0F0F0" w:color="auto" w:val="clear"/>
        </w:rPr>
        <w:t xml:space="preserve">[08:08]</w:t>
      </w:r>
      <w:r>
        <w:rPr>
          <w:rFonts w:ascii="Cambria" w:cs="Cambria" w:eastAsia="Cambria" w:hAnsi="Cambria"/>
          <w:b w:val="false"/>
          <w:bCs w:val="false"/>
          <w:i w:val="false"/>
          <w:iCs w:val="false"/>
          <w:strike w:val="false"/>
          <w:color w:val="000000"/>
          <w:sz w:val="22"/>
          <w:szCs w:val="22"/>
        </w:rPr>
        <w:t xml:space="preserv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Ms. Sanghera was not sworn until </w:t>
      </w:r>
      <w:r>
        <w:rPr>
          <w:rFonts w:ascii="Consolas" w:cs="Consolas" w:eastAsia="Consolas" w:hAnsi="Consolas"/>
          <w:b/>
          <w:bCs/>
          <w:i w:val="false"/>
          <w:iCs w:val="false"/>
          <w:strike w:val="false"/>
          <w:color w:val="000000"/>
          <w:sz w:val="19"/>
          <w:szCs w:val="19"/>
          <w:shd w:fill="F0F0F0" w:color="auto" w:val="clear"/>
        </w:rPr>
        <w:t xml:space="preserve">[09:02]</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bCs/>
          <w:i w:val="false"/>
          <w:iCs w:val="false"/>
          <w:strike w:val="false"/>
          <w:color w:val="000000"/>
          <w:sz w:val="22"/>
          <w:szCs w:val="22"/>
          <w:shd w:fill="FFFACD" w:color="auto" w:val="clear"/>
        </w:rPr>
        <w:t xml:space="preserve">after</w:t>
      </w:r>
      <w:r>
        <w:rPr>
          <w:rFonts w:ascii="Cambria" w:cs="Cambria" w:eastAsia="Cambria" w:hAnsi="Cambria"/>
          <w:b w:val="false"/>
          <w:bCs w:val="false"/>
          <w:i w:val="false"/>
          <w:iCs w:val="false"/>
          <w:strike w:val="false"/>
          <w:color w:val="000000"/>
          <w:sz w:val="22"/>
          <w:szCs w:val="22"/>
        </w:rPr>
        <w:t xml:space="preserve"> the address amendment was already made at </w:t>
      </w:r>
      <w:r>
        <w:rPr>
          <w:rFonts w:ascii="Consolas" w:cs="Consolas" w:eastAsia="Consolas" w:hAnsi="Consolas"/>
          <w:b/>
          <w:bCs/>
          <w:i w:val="false"/>
          <w:iCs w:val="false"/>
          <w:strike w:val="false"/>
          <w:color w:val="000000"/>
          <w:sz w:val="19"/>
          <w:szCs w:val="19"/>
          <w:shd w:fill="F0F0F0" w:color="auto" w:val="clear"/>
        </w:rPr>
        <w:t xml:space="preserve">[04:27]</w:t>
      </w:r>
      <w:r>
        <w:rPr>
          <w:rFonts w:ascii="Cambria" w:cs="Cambria" w:eastAsia="Cambria" w:hAnsi="Cambria"/>
          <w:b w:val="false"/>
          <w:bCs w:val="false"/>
          <w:i w:val="false"/>
          <w:iCs w:val="false"/>
          <w:strike w:val="false"/>
          <w:color w:val="000000"/>
          <w:sz w:val="22"/>
          <w:szCs w:val="22"/>
        </w:rPr>
        <w:t xml:space="preserv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The address amendment was based on Sanghera's </w:t>
      </w:r>
      <w:r>
        <w:rPr>
          <w:rFonts w:ascii="Cambria" w:cs="Cambria" w:eastAsia="Cambria" w:hAnsi="Cambria"/>
          <w:b/>
          <w:bCs/>
          <w:i w:val="false"/>
          <w:iCs w:val="false"/>
          <w:strike w:val="false"/>
          <w:color w:val="000000"/>
          <w:sz w:val="22"/>
          <w:szCs w:val="22"/>
          <w:shd w:fill="FFFACD" w:color="auto" w:val="clear"/>
        </w:rPr>
        <w:t xml:space="preserve">unsworn assertion</w:t>
      </w:r>
      <w:r>
        <w:rPr>
          <w:rFonts w:ascii="Cambria" w:cs="Cambria" w:eastAsia="Cambria" w:hAnsi="Cambria"/>
          <w:b w:val="false"/>
          <w:bCs w:val="false"/>
          <w:i w:val="false"/>
          <w:iCs w:val="false"/>
          <w:strike w:val="false"/>
          <w:color w:val="000000"/>
          <w:sz w:val="22"/>
          <w:szCs w:val="22"/>
        </w:rPr>
        <w:t xml:space="preserve"> at </w:t>
      </w:r>
      <w:r>
        <w:rPr>
          <w:rFonts w:ascii="Consolas" w:cs="Consolas" w:eastAsia="Consolas" w:hAnsi="Consolas"/>
          <w:b/>
          <w:bCs/>
          <w:i w:val="false"/>
          <w:iCs w:val="false"/>
          <w:strike w:val="false"/>
          <w:color w:val="000000"/>
          <w:sz w:val="19"/>
          <w:szCs w:val="19"/>
          <w:shd w:fill="F0F0F0" w:color="auto" w:val="clear"/>
        </w:rPr>
        <w:t xml:space="preserve">[03:43]</w:t>
      </w:r>
      <w:r>
        <w:rPr>
          <w:rFonts w:ascii="Cambria" w:cs="Cambria" w:eastAsia="Cambria" w:hAnsi="Cambria"/>
          <w:b w:val="false"/>
          <w:bCs w:val="false"/>
          <w:i w:val="false"/>
          <w:iCs w:val="false"/>
          <w:strike w:val="false"/>
          <w:color w:val="000000"/>
          <w:sz w:val="22"/>
          <w:szCs w:val="22"/>
        </w:rPr>
        <w:t xml:space="preserve">.</w:t>
      </w:r>
    </w:p>
    <w:p>
      <w:pPr>
        <w:pStyle w:val="ListParagraph"/>
        <w:numPr>
          <w:ilvl w:val="0"/>
          <w:numId w:val="1"/>
        </w:numPr>
        <w:spacing w:after="60" w:line="408" w:lineRule="auto"/>
        <w:ind w:left="720" w:hanging="360"/>
      </w:pPr>
      <w:r>
        <w:rPr>
          <w:rFonts w:ascii="Consolas" w:cs="Consolas" w:eastAsia="Consolas" w:hAnsi="Consolas"/>
          <w:b/>
          <w:bCs/>
          <w:i w:val="false"/>
          <w:iCs w:val="false"/>
          <w:strike w:val="false"/>
          <w:color w:val="000000"/>
          <w:sz w:val="19"/>
          <w:szCs w:val="19"/>
          <w:shd w:fill="F0F0F0" w:color="auto" w:val="clear"/>
        </w:rPr>
        <w:t xml:space="preserve">[55:04]</w:t>
      </w:r>
      <w:r>
        <w:rPr>
          <w:rFonts w:ascii="Cambria" w:cs="Cambria" w:eastAsia="Cambria" w:hAnsi="Cambria"/>
          <w:b w:val="false"/>
          <w:bCs w:val="false"/>
          <w:i w:val="false"/>
          <w:iCs w:val="false"/>
          <w:strike w:val="false"/>
          <w:color w:val="000000"/>
          <w:sz w:val="22"/>
          <w:szCs w:val="22"/>
        </w:rPr>
        <w:t xml:space="preserve"> Counsel submitted: </w:t>
      </w:r>
      <w:r>
        <w:rPr>
          <w:rFonts w:ascii="Cambria" w:cs="Cambria" w:eastAsia="Cambria" w:hAnsi="Cambria"/>
          <w:b w:val="false"/>
          <w:bCs w:val="false"/>
          <w:i/>
          <w:iCs/>
          <w:strike w:val="false"/>
          <w:color w:val="000000"/>
          <w:sz w:val="22"/>
          <w:szCs w:val="22"/>
        </w:rPr>
        <w:t xml:space="preserve">"The sheer amount of criminality occurring on the residence is not safe for the landlord to go there"</w:t>
      </w:r>
      <w:r>
        <w:rPr>
          <w:rFonts w:ascii="Cambria" w:cs="Cambria" w:eastAsia="Cambria" w:hAnsi="Cambria"/>
          <w:b w:val="false"/>
          <w:bCs w:val="false"/>
          <w:i w:val="false"/>
          <w:iCs w:val="false"/>
          <w:strike w:val="false"/>
          <w:color w:val="000000"/>
          <w:sz w:val="22"/>
          <w:szCs w:val="22"/>
        </w:rPr>
        <w:t xml:space="preserve"> — an unsworn factual assertion about criminal activity made through counsel.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9F9F9" w:color="auto" w:val="clear"/>
            <w:tcMar>
              <w:top w:type="dxa" w:w="200"/>
              <w:left w:type="dxa" w:w="280"/>
              <w:bottom w:type="dxa" w:w="200"/>
              <w:right w:type="dxa" w:w="280"/>
            </w:tcMar>
          </w:tcPr>
          <w:p>
            <w:pPr>
              <w:spacing w:after="120" w:line="408" w:lineRule="auto"/>
            </w:pPr>
            <w:r>
              <w:rPr>
                <w:b/>
                <w:bCs/>
                <w:i w:val="false"/>
                <w:iCs w:val="false"/>
                <w:color w:val="333333"/>
              </w:rPr>
              <w:t xml:space="preserve">▶ If the Judge Asks About Unsworn Assertions</w:t>
            </w:r>
          </w:p>
          <w:p>
            <w:pPr>
              <w:spacing w:after="80" w:line="384" w:lineRule="auto"/>
            </w:pPr>
            <w:r>
              <w:rPr>
                <w:rFonts w:ascii="Cambria" w:cs="Cambria" w:eastAsia="Cambria" w:hAnsi="Cambria"/>
                <w:b w:val="false"/>
                <w:bCs w:val="false"/>
                <w:i w:val="false"/>
                <w:iCs w:val="false"/>
                <w:strike w:val="false"/>
                <w:color w:val="000000"/>
                <w:sz w:val="21"/>
                <w:szCs w:val="21"/>
              </w:rPr>
              <w:t xml:space="preserve">"Your Honour, the threshold determination — the address amendment — was based on an unsworn assertion from the landlord's daughter, who had not yet taken her oath. The landlord himself was not present. Counsel made submissions only. Every factual assertion about the property came from either unsworn statements or counsel submissions. Even in administrative proceedings, determinative findings must be based on evidence, not on counsel's characterizations."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E8E8E8" w:color="auto" w:val="clear"/>
            <w:tcMar>
              <w:top w:type="dxa" w:w="120"/>
              <w:left w:type="dxa" w:w="200"/>
              <w:bottom w:type="dxa" w:w="120"/>
              <w:right w:type="dxa" w:w="200"/>
            </w:tcMar>
          </w:tcPr>
          <w:p>
            <w:pPr>
              <w:spacing w:after="120" w:line="408" w:lineRule="auto"/>
            </w:pPr>
            <w:r>
              <w:rPr>
                <w:rFonts w:ascii="Cambria" w:cs="Cambria" w:eastAsia="Cambria" w:hAnsi="Cambria"/>
                <w:b/>
                <w:bCs/>
                <w:i w:val="false"/>
                <w:iCs w:val="false"/>
                <w:strike w:val="false"/>
                <w:color w:val="555555"/>
                <w:spacing w:val="15"/>
                <w:sz w:val="18"/>
                <w:szCs w:val="18"/>
              </w:rPr>
              <w:t xml:space="preserve">Section 7  —</w:t>
            </w:r>
          </w:p>
          <w:p>
            <w:pPr>
              <w:spacing w:after="120" w:line="408" w:lineRule="auto"/>
            </w:pPr>
            <w:r>
              <w:t xml:space="preserve">RELIEF SOUGHT</w:t>
            </w:r>
          </w:p>
        </w:tc>
      </w:tr>
    </w:tbl>
    <w:p>
      <w:pPr>
        <w:spacing w:after="240" w:before="0"/>
      </w:pPr>
    </w:p>
    <w:p>
      <w:pPr>
        <w:pStyle w:val="Heading2"/>
        <w:spacing w:after="80" w:before="280" w:line="384" w:lineRule="auto"/>
      </w:pPr>
      <w:r>
        <w:rPr>
          <w:rFonts w:ascii="Cambria" w:cs="Cambria" w:eastAsia="Cambria" w:hAnsi="Cambria"/>
          <w:color w:val="000000"/>
          <w:sz w:val="24"/>
          <w:szCs w:val="24"/>
        </w:rPr>
        <w:t xml:space="preserve">Primary Relief Requested</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Certiorari</w:t>
      </w:r>
      <w:r>
        <w:rPr>
          <w:rFonts w:ascii="Cambria" w:cs="Cambria" w:eastAsia="Cambria" w:hAnsi="Cambria"/>
          <w:b w:val="false"/>
          <w:bCs w:val="false"/>
          <w:i w:val="false"/>
          <w:iCs w:val="false"/>
          <w:strike w:val="false"/>
          <w:color w:val="000000"/>
          <w:sz w:val="22"/>
          <w:szCs w:val="22"/>
        </w:rPr>
        <w:t xml:space="preserve"> quashing the RTB Decision, File No. 910-222-034</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Remittal</w:t>
      </w:r>
      <w:r>
        <w:rPr>
          <w:rFonts w:ascii="Cambria" w:cs="Cambria" w:eastAsia="Cambria" w:hAnsi="Cambria"/>
          <w:b w:val="false"/>
          <w:bCs w:val="false"/>
          <w:i w:val="false"/>
          <w:iCs w:val="false"/>
          <w:strike w:val="false"/>
          <w:color w:val="000000"/>
          <w:sz w:val="22"/>
          <w:szCs w:val="22"/>
        </w:rPr>
        <w:t xml:space="preserve"> to the RTB for reconsideration before a </w:t>
      </w:r>
      <w:r>
        <w:rPr>
          <w:rFonts w:ascii="Cambria" w:cs="Cambria" w:eastAsia="Cambria" w:hAnsi="Cambria"/>
          <w:b/>
          <w:bCs/>
          <w:i w:val="false"/>
          <w:iCs w:val="false"/>
          <w:strike w:val="false"/>
          <w:color w:val="000000"/>
          <w:sz w:val="22"/>
          <w:szCs w:val="22"/>
          <w:shd w:fill="FFFACD" w:color="auto" w:val="clear"/>
        </w:rPr>
        <w:t xml:space="preserve">different arbitrator</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A </w:t>
      </w:r>
      <w:r>
        <w:rPr>
          <w:rFonts w:ascii="Cambria" w:cs="Cambria" w:eastAsia="Cambria" w:hAnsi="Cambria"/>
          <w:b/>
          <w:bCs/>
          <w:i w:val="false"/>
          <w:iCs w:val="false"/>
          <w:strike w:val="false"/>
          <w:color w:val="000000"/>
          <w:sz w:val="22"/>
          <w:szCs w:val="22"/>
        </w:rPr>
        <w:t xml:space="preserve">stay</w:t>
      </w:r>
      <w:r>
        <w:rPr>
          <w:rFonts w:ascii="Cambria" w:cs="Cambria" w:eastAsia="Cambria" w:hAnsi="Cambria"/>
          <w:b w:val="false"/>
          <w:bCs w:val="false"/>
          <w:i w:val="false"/>
          <w:iCs w:val="false"/>
          <w:strike w:val="false"/>
          <w:color w:val="000000"/>
          <w:sz w:val="22"/>
          <w:szCs w:val="22"/>
        </w:rPr>
        <w:t xml:space="preserve"> of the RTB Decision (including any vacant possession order) pending this application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9F9F9" w:color="auto" w:val="clear"/>
            <w:tcMar>
              <w:top w:type="dxa" w:w="200"/>
              <w:left w:type="dxa" w:w="280"/>
              <w:bottom w:type="dxa" w:w="200"/>
              <w:right w:type="dxa" w:w="280"/>
            </w:tcMar>
          </w:tcPr>
          <w:p>
            <w:pPr>
              <w:spacing w:after="120" w:line="408" w:lineRule="auto"/>
            </w:pPr>
            <w:r>
              <w:rPr>
                <w:b/>
                <w:bCs/>
                <w:i w:val="false"/>
                <w:iCs w:val="false"/>
                <w:color w:val="333333"/>
              </w:rPr>
              <w:t xml:space="preserve">▶ If the Judge Asks Why a Different Arbitrator</w:t>
            </w:r>
          </w:p>
          <w:p>
            <w:pPr>
              <w:spacing w:after="80" w:line="384" w:lineRule="auto"/>
            </w:pPr>
            <w:r>
              <w:rPr>
                <w:rFonts w:ascii="Cambria" w:cs="Cambria" w:eastAsia="Cambria" w:hAnsi="Cambria"/>
                <w:b w:val="false"/>
                <w:bCs w:val="false"/>
                <w:i w:val="false"/>
                <w:iCs w:val="false"/>
                <w:strike w:val="false"/>
                <w:color w:val="000000"/>
                <w:sz w:val="21"/>
                <w:szCs w:val="21"/>
              </w:rPr>
              <w:t xml:space="preserve">"Your Honour, where there has been a reasonable apprehension of predetermination, the Court typically directs reconsideration before a different decision-maker to preserve the integrity of the process. The appearance of predetermination here, combined with the procedural failures, means that a fair hearing requires a fresh start before someone who has not already signalled a view."</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E8E8E8" w:color="auto" w:val="clear"/>
            <w:tcMar>
              <w:top w:type="dxa" w:w="120"/>
              <w:left w:type="dxa" w:w="200"/>
              <w:bottom w:type="dxa" w:w="120"/>
              <w:right w:type="dxa" w:w="200"/>
            </w:tcMar>
          </w:tcPr>
          <w:p>
            <w:pPr>
              <w:spacing w:after="120" w:line="408" w:lineRule="auto"/>
            </w:pPr>
            <w:r>
              <w:rPr>
                <w:rFonts w:ascii="Cambria" w:cs="Cambria" w:eastAsia="Cambria" w:hAnsi="Cambria"/>
                <w:b/>
                <w:bCs/>
                <w:i w:val="false"/>
                <w:iCs w:val="false"/>
                <w:strike w:val="false"/>
                <w:color w:val="555555"/>
                <w:spacing w:val="15"/>
                <w:sz w:val="18"/>
                <w:szCs w:val="18"/>
              </w:rPr>
              <w:t xml:space="preserve">Section 8  —</w:t>
            </w:r>
          </w:p>
          <w:p>
            <w:pPr>
              <w:spacing w:after="120" w:line="408" w:lineRule="auto"/>
            </w:pPr>
            <w:r>
              <w:t xml:space="preserve">KEY CITATIONS (Quick Reference)</w:t>
            </w:r>
          </w:p>
        </w:tc>
      </w:tr>
    </w:tbl>
    <w:p>
      <w:pPr>
        <w:spacing w:after="240" w:before="0"/>
      </w:pPr>
    </w:p>
    <w:p>
      <w:pPr>
        <w:pStyle w:val="Heading2"/>
        <w:spacing w:after="80" w:before="280" w:line="384" w:lineRule="auto"/>
      </w:pPr>
      <w:r>
        <w:rPr>
          <w:rFonts w:ascii="Cambria" w:cs="Cambria" w:eastAsia="Cambria" w:hAnsi="Cambria"/>
          <w:color w:val="000000"/>
          <w:sz w:val="24"/>
          <w:szCs w:val="24"/>
        </w:rPr>
        <w:t xml:space="preserve">Case Law</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49%"/>
            <w:shd w:fill="E8E8E8" w:color="auto" w:val="clear"/>
            <w:tcMar>
              <w:top w:type="dxa" w:w="90"/>
              <w:left w:type="dxa" w:w="150"/>
              <w:bottom w:type="dxa" w:w="90"/>
              <w:right w:type="dxa" w:w="150"/>
            </w:tcMar>
          </w:tcPr>
          <w:p>
            <w:r>
              <w:rPr>
                <w:rFonts w:ascii="Cambria" w:cs="Cambria" w:eastAsia="Cambria" w:hAnsi="Cambria"/>
                <w:b/>
                <w:bCs/>
                <w:i w:val="false"/>
                <w:iCs w:val="false"/>
                <w:strike w:val="false"/>
                <w:color w:val="000000"/>
                <w:sz w:val="21"/>
                <w:szCs w:val="21"/>
              </w:rPr>
              <w:t xml:space="preserve">Case</w:t>
            </w:r>
          </w:p>
        </w:tc>
        <w:tc>
          <w:tcPr>
            <w:tcW w:type="pct" w:w="51%"/>
            <w:shd w:fill="E8E8E8" w:color="auto" w:val="clear"/>
            <w:tcMar>
              <w:top w:type="dxa" w:w="90"/>
              <w:left w:type="dxa" w:w="150"/>
              <w:bottom w:type="dxa" w:w="90"/>
              <w:right w:type="dxa" w:w="150"/>
            </w:tcMar>
          </w:tcPr>
          <w:p>
            <w:r>
              <w:rPr>
                <w:rFonts w:ascii="Cambria" w:cs="Cambria" w:eastAsia="Cambria" w:hAnsi="Cambria"/>
                <w:b/>
                <w:bCs/>
                <w:i w:val="false"/>
                <w:iCs w:val="false"/>
                <w:strike w:val="false"/>
                <w:color w:val="000000"/>
                <w:sz w:val="21"/>
                <w:szCs w:val="21"/>
              </w:rPr>
              <w:t xml:space="preserve">Principle</w:t>
            </w:r>
          </w:p>
        </w:tc>
      </w:tr>
      <w:tr>
        <w:trPr>
          <w:tblHeader w:val="false"/>
        </w:trPr>
        <w:tc>
          <w:tcPr>
            <w:tcW w:type="pct" w:w="49%"/>
            <w:tcMar>
              <w:top w:type="dxa" w:w="90"/>
              <w:left w:type="dxa" w:w="150"/>
              <w:bottom w:type="dxa" w:w="90"/>
              <w:right w:type="dxa" w:w="150"/>
            </w:tcMar>
          </w:tcPr>
          <w:p>
            <w:r>
              <w:rPr>
                <w:rFonts w:ascii="Cambria" w:cs="Cambria" w:eastAsia="Cambria" w:hAnsi="Cambria"/>
                <w:b w:val="false"/>
                <w:bCs w:val="false"/>
                <w:i/>
                <w:iCs/>
                <w:strike w:val="false"/>
                <w:color w:val="000000"/>
                <w:sz w:val="22"/>
                <w:szCs w:val="22"/>
              </w:rPr>
              <w:t xml:space="preserve">Baker v. Canada (Minister of Citizenship and Immigration)</w:t>
            </w:r>
            <w:r>
              <w:rPr>
                <w:rFonts w:ascii="Cambria" w:cs="Cambria" w:eastAsia="Cambria" w:hAnsi="Cambria"/>
                <w:b w:val="false"/>
                <w:bCs w:val="false"/>
                <w:i w:val="false"/>
                <w:iCs w:val="false"/>
                <w:strike w:val="false"/>
                <w:color w:val="000000"/>
                <w:sz w:val="20"/>
                <w:szCs w:val="20"/>
              </w:rPr>
              <w:t xml:space="preserve">, [1999] 2 SCR 817</w:t>
            </w:r>
          </w:p>
        </w:tc>
        <w:tc>
          <w:tcPr>
            <w:tcW w:type="pct" w:w="51%"/>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Procedural fairness factors — nature of decision, consequences, legitimate expectations, participation rights</w:t>
            </w:r>
          </w:p>
        </w:tc>
      </w:tr>
      <w:tr>
        <w:trPr>
          <w:tblHeader w:val="false"/>
        </w:trPr>
        <w:tc>
          <w:tcPr>
            <w:tcW w:type="pct" w:w="49%"/>
            <w:tcMar>
              <w:top w:type="dxa" w:w="90"/>
              <w:left w:type="dxa" w:w="150"/>
              <w:bottom w:type="dxa" w:w="90"/>
              <w:right w:type="dxa" w:w="150"/>
            </w:tcMar>
          </w:tcPr>
          <w:p>
            <w:r>
              <w:rPr>
                <w:rFonts w:ascii="Cambria" w:cs="Cambria" w:eastAsia="Cambria" w:hAnsi="Cambria"/>
                <w:b w:val="false"/>
                <w:bCs w:val="false"/>
                <w:i/>
                <w:iCs/>
                <w:strike w:val="false"/>
                <w:color w:val="000000"/>
                <w:sz w:val="22"/>
                <w:szCs w:val="22"/>
              </w:rPr>
              <w:t xml:space="preserve">Canada (Minister of Citizenship and Immigration) v. Vavilov</w:t>
            </w:r>
            <w:r>
              <w:rPr>
                <w:rFonts w:ascii="Cambria" w:cs="Cambria" w:eastAsia="Cambria" w:hAnsi="Cambria"/>
                <w:b w:val="false"/>
                <w:bCs w:val="false"/>
                <w:i w:val="false"/>
                <w:iCs w:val="false"/>
                <w:strike w:val="false"/>
                <w:color w:val="000000"/>
                <w:sz w:val="20"/>
                <w:szCs w:val="20"/>
              </w:rPr>
              <w:t xml:space="preserve">, 2019 SCC 65</w:t>
            </w:r>
          </w:p>
        </w:tc>
        <w:tc>
          <w:tcPr>
            <w:tcW w:type="pct" w:w="51%"/>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No deference to tribunal on questions of procedural fairness — correctness standard applies</w:t>
            </w:r>
          </w:p>
        </w:tc>
      </w:tr>
      <w:tr>
        <w:trPr>
          <w:tblHeader w:val="false"/>
        </w:trPr>
        <w:tc>
          <w:tcPr>
            <w:tcW w:type="pct" w:w="49%"/>
            <w:tcMar>
              <w:top w:type="dxa" w:w="90"/>
              <w:left w:type="dxa" w:w="150"/>
              <w:bottom w:type="dxa" w:w="90"/>
              <w:right w:type="dxa" w:w="150"/>
            </w:tcMar>
          </w:tcPr>
          <w:p>
            <w:r>
              <w:rPr>
                <w:rFonts w:ascii="Cambria" w:cs="Cambria" w:eastAsia="Cambria" w:hAnsi="Cambria"/>
                <w:b w:val="false"/>
                <w:bCs w:val="false"/>
                <w:i/>
                <w:iCs/>
                <w:strike w:val="false"/>
                <w:color w:val="000000"/>
                <w:sz w:val="22"/>
                <w:szCs w:val="22"/>
              </w:rPr>
              <w:t xml:space="preserve">Harelkin v. University of Regina</w:t>
            </w:r>
            <w:r>
              <w:rPr>
                <w:rFonts w:ascii="Cambria" w:cs="Cambria" w:eastAsia="Cambria" w:hAnsi="Cambria"/>
                <w:b w:val="false"/>
                <w:bCs w:val="false"/>
                <w:i w:val="false"/>
                <w:iCs w:val="false"/>
                <w:strike w:val="false"/>
                <w:color w:val="000000"/>
                <w:sz w:val="20"/>
                <w:szCs w:val="20"/>
              </w:rPr>
              <w:t xml:space="preserve">, [1979] 2 SCR 561</w:t>
            </w:r>
          </w:p>
        </w:tc>
        <w:tc>
          <w:tcPr>
            <w:tcW w:type="pct" w:w="51%"/>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Waiver requires knowledge of the right being waived — cannot waive unknown rights</w:t>
            </w:r>
          </w:p>
        </w:tc>
      </w:tr>
      <w:tr>
        <w:trPr>
          <w:tblHeader w:val="false"/>
        </w:trPr>
        <w:tc>
          <w:tcPr>
            <w:tcW w:type="pct" w:w="49%"/>
            <w:tcMar>
              <w:top w:type="dxa" w:w="90"/>
              <w:left w:type="dxa" w:w="150"/>
              <w:bottom w:type="dxa" w:w="90"/>
              <w:right w:type="dxa" w:w="150"/>
            </w:tcMar>
          </w:tcPr>
          <w:p>
            <w:r>
              <w:rPr>
                <w:rFonts w:ascii="Cambria" w:cs="Cambria" w:eastAsia="Cambria" w:hAnsi="Cambria"/>
                <w:b w:val="false"/>
                <w:bCs w:val="false"/>
                <w:i/>
                <w:iCs/>
                <w:strike w:val="false"/>
                <w:color w:val="000000"/>
                <w:sz w:val="22"/>
                <w:szCs w:val="22"/>
              </w:rPr>
              <w:t xml:space="preserve">Newfoundland Telephone Co. v. Newfoundland (Board of Commissioners of Public Utilities)</w:t>
            </w:r>
            <w:r>
              <w:rPr>
                <w:rFonts w:ascii="Cambria" w:cs="Cambria" w:eastAsia="Cambria" w:hAnsi="Cambria"/>
                <w:b w:val="false"/>
                <w:bCs w:val="false"/>
                <w:i w:val="false"/>
                <w:iCs w:val="false"/>
                <w:strike w:val="false"/>
                <w:color w:val="000000"/>
                <w:sz w:val="20"/>
                <w:szCs w:val="20"/>
              </w:rPr>
              <w:t xml:space="preserve">, [1992] 1 SCR 623</w:t>
            </w:r>
          </w:p>
        </w:tc>
        <w:tc>
          <w:tcPr>
            <w:tcW w:type="pct" w:w="51%"/>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Prejudice arises from the denial of meaningful participation itself</w:t>
            </w:r>
          </w:p>
        </w:tc>
      </w:tr>
      <w:tr>
        <w:trPr>
          <w:tblHeader w:val="false"/>
        </w:trPr>
        <w:tc>
          <w:tcPr>
            <w:tcW w:type="pct" w:w="49%"/>
            <w:tcMar>
              <w:top w:type="dxa" w:w="90"/>
              <w:left w:type="dxa" w:w="150"/>
              <w:bottom w:type="dxa" w:w="90"/>
              <w:right w:type="dxa" w:w="150"/>
            </w:tcMar>
          </w:tcPr>
          <w:p>
            <w:r>
              <w:rPr>
                <w:rFonts w:ascii="Cambria" w:cs="Cambria" w:eastAsia="Cambria" w:hAnsi="Cambria"/>
                <w:b w:val="false"/>
                <w:bCs w:val="false"/>
                <w:i/>
                <w:iCs/>
                <w:strike w:val="false"/>
                <w:color w:val="000000"/>
                <w:sz w:val="22"/>
                <w:szCs w:val="22"/>
              </w:rPr>
              <w:t xml:space="preserve">Cardinal v. Director of Kent Institution</w:t>
            </w:r>
            <w:r>
              <w:rPr>
                <w:rFonts w:ascii="Cambria" w:cs="Cambria" w:eastAsia="Cambria" w:hAnsi="Cambria"/>
                <w:b w:val="false"/>
                <w:bCs w:val="false"/>
                <w:i w:val="false"/>
                <w:iCs w:val="false"/>
                <w:strike w:val="false"/>
                <w:color w:val="000000"/>
                <w:sz w:val="20"/>
                <w:szCs w:val="20"/>
              </w:rPr>
              <w:t xml:space="preserve">, [1985] 2 SCR 643</w:t>
            </w:r>
          </w:p>
        </w:tc>
        <w:tc>
          <w:tcPr>
            <w:tcW w:type="pct" w:w="51%"/>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Fundamental right to know the case against you and respond meaningfully</w:t>
            </w:r>
          </w:p>
        </w:tc>
      </w:tr>
    </w:tbl>
    <w:p>
      <w:pPr>
        <w:spacing w:after="200" w:before="0"/>
      </w:pPr>
    </w:p>
    <w:p>
      <w:pPr>
        <w:pStyle w:val="Heading2"/>
        <w:spacing w:after="80" w:before="280" w:line="384" w:lineRule="auto"/>
      </w:pPr>
      <w:r>
        <w:rPr>
          <w:rFonts w:ascii="Cambria" w:cs="Cambria" w:eastAsia="Cambria" w:hAnsi="Cambria"/>
          <w:color w:val="000000"/>
          <w:sz w:val="24"/>
          <w:szCs w:val="24"/>
        </w:rPr>
        <w:t xml:space="preserve">Statutes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39%"/>
            <w:shd w:fill="E8E8E8" w:color="auto" w:val="clear"/>
            <w:tcMar>
              <w:top w:type="dxa" w:w="90"/>
              <w:left w:type="dxa" w:w="150"/>
              <w:bottom w:type="dxa" w:w="90"/>
              <w:right w:type="dxa" w:w="150"/>
            </w:tcMar>
          </w:tcPr>
          <w:p>
            <w:r>
              <w:rPr>
                <w:rFonts w:ascii="Cambria" w:cs="Cambria" w:eastAsia="Cambria" w:hAnsi="Cambria"/>
                <w:b/>
                <w:bCs/>
                <w:i w:val="false"/>
                <w:iCs w:val="false"/>
                <w:strike w:val="false"/>
                <w:color w:val="000000"/>
                <w:sz w:val="21"/>
                <w:szCs w:val="21"/>
              </w:rPr>
              <w:t xml:space="preserve">Statute</w:t>
            </w:r>
          </w:p>
        </w:tc>
        <w:tc>
          <w:tcPr>
            <w:tcW w:type="pct" w:w="61%"/>
            <w:shd w:fill="E8E8E8" w:color="auto" w:val="clear"/>
            <w:tcMar>
              <w:top w:type="dxa" w:w="90"/>
              <w:left w:type="dxa" w:w="150"/>
              <w:bottom w:type="dxa" w:w="90"/>
              <w:right w:type="dxa" w:w="150"/>
            </w:tcMar>
          </w:tcPr>
          <w:p>
            <w:r>
              <w:rPr>
                <w:rFonts w:ascii="Cambria" w:cs="Cambria" w:eastAsia="Cambria" w:hAnsi="Cambria"/>
                <w:b/>
                <w:bCs/>
                <w:i w:val="false"/>
                <w:iCs w:val="false"/>
                <w:strike w:val="false"/>
                <w:color w:val="000000"/>
                <w:sz w:val="21"/>
                <w:szCs w:val="21"/>
              </w:rPr>
              <w:t xml:space="preserve">Relevance</w:t>
            </w:r>
          </w:p>
        </w:tc>
      </w:tr>
      <w:tr>
        <w:trPr>
          <w:tblHeader w:val="false"/>
        </w:trPr>
        <w:tc>
          <w:tcPr>
            <w:tcW w:type="pct" w:w="39%"/>
            <w:tcMar>
              <w:top w:type="dxa" w:w="90"/>
              <w:left w:type="dxa" w:w="150"/>
              <w:bottom w:type="dxa" w:w="90"/>
              <w:right w:type="dxa" w:w="150"/>
            </w:tcMar>
          </w:tcPr>
          <w:p>
            <w:r>
              <w:rPr>
                <w:rFonts w:ascii="Cambria" w:cs="Cambria" w:eastAsia="Cambria" w:hAnsi="Cambria"/>
                <w:b w:val="false"/>
                <w:bCs w:val="false"/>
                <w:i/>
                <w:iCs/>
                <w:strike w:val="false"/>
                <w:color w:val="000000"/>
                <w:sz w:val="22"/>
                <w:szCs w:val="22"/>
              </w:rPr>
              <w:t xml:space="preserve">Judicial Review Procedure Act</w:t>
            </w:r>
            <w:r>
              <w:rPr>
                <w:rFonts w:ascii="Cambria" w:cs="Cambria" w:eastAsia="Cambria" w:hAnsi="Cambria"/>
                <w:b w:val="false"/>
                <w:bCs w:val="false"/>
                <w:i w:val="false"/>
                <w:iCs w:val="false"/>
                <w:strike w:val="false"/>
                <w:color w:val="000000"/>
                <w:sz w:val="20"/>
                <w:szCs w:val="20"/>
              </w:rPr>
              <w:t xml:space="preserve">, RSBC 1996, c 241, s 2</w:t>
            </w:r>
          </w:p>
        </w:tc>
        <w:tc>
          <w:tcPr>
            <w:tcW w:type="pct" w:w="61%"/>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Jurisdiction for this application — certiorari and other prerogative remedies</w:t>
            </w:r>
          </w:p>
        </w:tc>
      </w:tr>
      <w:tr>
        <w:trPr>
          <w:tblHeader w:val="false"/>
        </w:trPr>
        <w:tc>
          <w:tcPr>
            <w:tcW w:type="pct" w:w="39%"/>
            <w:tcMar>
              <w:top w:type="dxa" w:w="90"/>
              <w:left w:type="dxa" w:w="150"/>
              <w:bottom w:type="dxa" w:w="90"/>
              <w:right w:type="dxa" w:w="150"/>
            </w:tcMar>
          </w:tcPr>
          <w:p>
            <w:r>
              <w:rPr>
                <w:rFonts w:ascii="Cambria" w:cs="Cambria" w:eastAsia="Cambria" w:hAnsi="Cambria"/>
                <w:b w:val="false"/>
                <w:bCs w:val="false"/>
                <w:i/>
                <w:iCs/>
                <w:strike w:val="false"/>
                <w:color w:val="000000"/>
                <w:sz w:val="22"/>
                <w:szCs w:val="22"/>
              </w:rPr>
              <w:t xml:space="preserve">Residential Tenancy Act</w:t>
            </w:r>
            <w:r>
              <w:rPr>
                <w:rFonts w:ascii="Cambria" w:cs="Cambria" w:eastAsia="Cambria" w:hAnsi="Cambria"/>
                <w:b w:val="false"/>
                <w:bCs w:val="false"/>
                <w:i w:val="false"/>
                <w:iCs w:val="false"/>
                <w:strike w:val="false"/>
                <w:color w:val="000000"/>
                <w:sz w:val="20"/>
                <w:szCs w:val="20"/>
              </w:rPr>
              <w:t xml:space="preserve">, SBC 2002, c 78</w:t>
            </w:r>
          </w:p>
        </w:tc>
        <w:tc>
          <w:tcPr>
            <w:tcW w:type="pct" w:w="61%"/>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Remedial, protective purpose — relevant to </w:t>
            </w:r>
            <w:r>
              <w:rPr>
                <w:rFonts w:ascii="Cambria" w:cs="Cambria" w:eastAsia="Cambria" w:hAnsi="Cambria"/>
                <w:b w:val="false"/>
                <w:bCs w:val="false"/>
                <w:i/>
                <w:iCs/>
                <w:strike w:val="false"/>
                <w:color w:val="000000"/>
                <w:sz w:val="22"/>
                <w:szCs w:val="22"/>
              </w:rPr>
              <w:t xml:space="preserve">Baker</w:t>
            </w:r>
            <w:r>
              <w:rPr>
                <w:rFonts w:ascii="Cambria" w:cs="Cambria" w:eastAsia="Cambria" w:hAnsi="Cambria"/>
                <w:b w:val="false"/>
                <w:bCs w:val="false"/>
                <w:i w:val="false"/>
                <w:iCs w:val="false"/>
                <w:strike w:val="false"/>
                <w:color w:val="000000"/>
                <w:sz w:val="20"/>
                <w:szCs w:val="20"/>
              </w:rPr>
              <w:t xml:space="preserve"> factor analysis and weight of consequences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0F0F0" w:color="auto" w:val="clear"/>
            <w:tcMar>
              <w:top w:type="dxa" w:w="280"/>
              <w:left w:type="dxa" w:w="320"/>
              <w:bottom w:type="dxa" w:w="280"/>
              <w:right w:type="dxa" w:w="320"/>
            </w:tcMar>
          </w:tcPr>
          <w:p>
            <w:pPr>
              <w:spacing w:after="120" w:line="408" w:lineRule="auto"/>
            </w:pPr>
            <w:r>
              <w:rPr>
                <w:b/>
                <w:bCs/>
                <w:i w:val="false"/>
                <w:iCs w:val="false"/>
                <w:color w:val="000000"/>
              </w:rPr>
              <w:t xml:space="preserve">▶ Closing Note for Dan — How to Use This Sheet</w:t>
            </w:r>
          </w:p>
          <w:p>
            <w:pPr>
              <w:spacing w:after="100" w:line="384" w:lineRule="auto"/>
            </w:pPr>
            <w:r>
              <w:rPr>
                <w:rFonts w:ascii="Cambria" w:cs="Cambria" w:eastAsia="Cambria" w:hAnsi="Cambria"/>
                <w:b/>
                <w:bCs/>
                <w:i w:val="false"/>
                <w:iCs w:val="false"/>
                <w:strike w:val="false"/>
                <w:color w:val="000000"/>
                <w:sz w:val="22"/>
                <w:szCs w:val="22"/>
              </w:rPr>
              <w:t xml:space="preserve">Start with Section 1.</w:t>
            </w:r>
            <w:r>
              <w:rPr>
                <w:rFonts w:ascii="Cambria" w:cs="Cambria" w:eastAsia="Cambria" w:hAnsi="Cambria"/>
                <w:b w:val="false"/>
                <w:bCs w:val="false"/>
                <w:i w:val="false"/>
                <w:iCs w:val="false"/>
                <w:strike w:val="false"/>
                <w:color w:val="000000"/>
                <w:sz w:val="21"/>
                <w:szCs w:val="21"/>
              </w:rPr>
              <w:t xml:space="preserve"> If the Judge seems to understand the core argument, move to Section 2 (the legal test).</w:t>
            </w:r>
          </w:p>
          <w:p>
            <w:pPr>
              <w:spacing w:after="100" w:line="384" w:lineRule="auto"/>
            </w:pPr>
            <w:r>
              <w:rPr>
                <w:rFonts w:ascii="Cambria" w:cs="Cambria" w:eastAsia="Cambria" w:hAnsi="Cambria"/>
                <w:b/>
                <w:bCs/>
                <w:i w:val="false"/>
                <w:iCs w:val="false"/>
                <w:strike w:val="false"/>
                <w:color w:val="000000"/>
                <w:sz w:val="22"/>
                <w:szCs w:val="22"/>
              </w:rPr>
              <w:t xml:space="preserve">Sections 3–6</w:t>
            </w:r>
            <w:r>
              <w:rPr>
                <w:rFonts w:ascii="Cambria" w:cs="Cambria" w:eastAsia="Cambria" w:hAnsi="Cambria"/>
                <w:b w:val="false"/>
                <w:bCs w:val="false"/>
                <w:i w:val="false"/>
                <w:iCs w:val="false"/>
                <w:strike w:val="false"/>
                <w:color w:val="000000"/>
                <w:sz w:val="21"/>
                <w:szCs w:val="21"/>
              </w:rPr>
              <w:t xml:space="preserve"> are supporting arguments — deploy them if the Judge raises specific questions about attribution, disclosure, predetermination, or the oath issue.</w:t>
            </w:r>
          </w:p>
          <w:p>
            <w:pPr>
              <w:spacing w:after="100" w:line="384" w:lineRule="auto"/>
            </w:pPr>
            <w:r>
              <w:rPr>
                <w:rFonts w:ascii="Cambria" w:cs="Cambria" w:eastAsia="Cambria" w:hAnsi="Cambria"/>
                <w:b/>
                <w:bCs/>
                <w:i w:val="false"/>
                <w:iCs w:val="false"/>
                <w:strike w:val="false"/>
                <w:color w:val="000000"/>
                <w:sz w:val="22"/>
                <w:szCs w:val="22"/>
              </w:rPr>
              <w:t xml:space="preserve">Section 7</w:t>
            </w:r>
            <w:r>
              <w:rPr>
                <w:rFonts w:ascii="Cambria" w:cs="Cambria" w:eastAsia="Cambria" w:hAnsi="Cambria"/>
                <w:b w:val="false"/>
                <w:bCs w:val="false"/>
                <w:i w:val="false"/>
                <w:iCs w:val="false"/>
                <w:strike w:val="false"/>
                <w:color w:val="000000"/>
                <w:sz w:val="21"/>
                <w:szCs w:val="21"/>
              </w:rPr>
              <w:t xml:space="preserve"> is what you are asking for. Be ready to state all three heads of relief clearly.</w:t>
            </w:r>
          </w:p>
          <w:p>
            <w:pPr>
              <w:spacing w:after="100" w:line="384" w:lineRule="auto"/>
            </w:pPr>
            <w:r>
              <w:rPr>
                <w:rFonts w:ascii="Cambria" w:cs="Cambria" w:eastAsia="Cambria" w:hAnsi="Cambria"/>
                <w:b/>
                <w:bCs/>
                <w:i w:val="false"/>
                <w:iCs w:val="false"/>
                <w:strike w:val="false"/>
                <w:color w:val="000000"/>
                <w:sz w:val="22"/>
                <w:szCs w:val="22"/>
              </w:rPr>
              <w:t xml:space="preserve">Section 8</w:t>
            </w:r>
            <w:r>
              <w:rPr>
                <w:rFonts w:ascii="Cambria" w:cs="Cambria" w:eastAsia="Cambria" w:hAnsi="Cambria"/>
                <w:b w:val="false"/>
                <w:bCs w:val="false"/>
                <w:i w:val="false"/>
                <w:iCs w:val="false"/>
                <w:strike w:val="false"/>
                <w:color w:val="000000"/>
                <w:sz w:val="21"/>
                <w:szCs w:val="21"/>
              </w:rPr>
              <w:t xml:space="preserve"> is a quick citation lookup only — you do not need to recite every case. Cite what fits the question in front of you.</w:t>
            </w:r>
          </w:p>
          <w:p>
            <w:pPr>
              <w:spacing w:after="100" w:line="384" w:lineRule="auto"/>
            </w:pPr>
            <w:r>
              <w:rPr>
                <w:rFonts w:ascii="Cambria" w:cs="Cambria" w:eastAsia="Cambria" w:hAnsi="Cambria"/>
                <w:b/>
                <w:bCs/>
                <w:i w:val="false"/>
                <w:iCs w:val="false"/>
                <w:strike w:val="false"/>
                <w:color w:val="000000"/>
                <w:sz w:val="22"/>
                <w:szCs w:val="22"/>
              </w:rPr>
              <w:t xml:space="preserve">Stay calm. Stay chronological.</w:t>
            </w:r>
            <w:r>
              <w:rPr>
                <w:rFonts w:ascii="Cambria" w:cs="Cambria" w:eastAsia="Cambria" w:hAnsi="Cambria"/>
                <w:b w:val="false"/>
                <w:bCs w:val="false"/>
                <w:i w:val="false"/>
                <w:iCs w:val="false"/>
                <w:strike w:val="false"/>
                <w:color w:val="000000"/>
                <w:sz w:val="21"/>
                <w:szCs w:val="21"/>
              </w:rPr>
              <w:t xml:space="preserve"> Always return to the core:</w:t>
            </w:r>
          </w:p>
          <w:p>
            <w:pPr>
              <w:spacing w:after="100" w:line="384" w:lineRule="auto"/>
            </w:pPr>
            <w:r>
              <w:rPr>
                <w:rFonts w:ascii="Cambria" w:cs="Cambria" w:eastAsia="Cambria" w:hAnsi="Cambria"/>
                <w:b w:val="false"/>
                <w:bCs w:val="false"/>
                <w:i/>
                <w:iCs/>
                <w:strike w:val="false"/>
                <w:color w:val="000000"/>
                <w:sz w:val="21"/>
                <w:szCs w:val="21"/>
              </w:rPr>
              <w:t xml:space="preserve">The foundational ruling was made before you joined — without your participation — on the basis of an unsworn assertion from an interested party who had not yet taken her oath. That is the breach. Everything else flows from it.</w:t>
            </w:r>
          </w:p>
        </w:tc>
      </w:tr>
    </w:tbl>
    <w:p>
      <w:pPr>
        <w:spacing w:after="240" w:before="0"/>
      </w:pP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TUQrRjYtG1LBWPBNzGL1d</dc:title>
  <dc:creator>Un-named</dc:creator>
  <dc:description>Generated document</dc:description>
  <cp:lastModifiedBy>Un-named</cp:lastModifiedBy>
  <cp:revision>1</cp:revision>
  <dcterms:created xsi:type="dcterms:W3CDTF">2026-05-12T06:30:33.232Z</dcterms:created>
  <dcterms:modified xsi:type="dcterms:W3CDTF">2026-05-12T06:30:33.232Z</dcterms:modified>
</cp:coreProperties>
</file>

<file path=docProps/custom.xml><?xml version="1.0" encoding="utf-8"?>
<Properties xmlns="http://schemas.openxmlformats.org/officeDocument/2006/custom-properties" xmlns:vt="http://schemas.openxmlformats.org/officeDocument/2006/docPropsVTypes"/>
</file>