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pPr>
      <w:r>
        <w:t>9. Project Communication</w:t>
      </w:r>
    </w:p>
    <w:p>
      <w:pPr>
        <w:pStyle w:val="Heading2"/>
        <w:keepNext/>
      </w:pPr>
      <w:r>
        <w:t>9.1 Overview</w:t>
      </w:r>
    </w:p>
    <w:p>
      <w:r>
        <w:t>The five-person team uses GitHub for source control and shared implementation, and maintains PRD, URS, TDM, meeting notes and Sprint 1 handoff samples in the project workspace. Team discussions are used to confirm scope, assign ownership, review interfaces and identify blockers. Shared JSON contracts allow pipeline components to be developed and tested without waiting for another member's unfinished implementation.</w:t>
      </w:r>
    </w:p>
    <w:p>
      <w:pPr>
        <w:pStyle w:val="ListBullet"/>
      </w:pPr>
      <w:r>
        <w:t>GitHub repository for code review, change history and integration.</w:t>
      </w:r>
    </w:p>
    <w:p>
      <w:pPr>
        <w:pStyle w:val="ListBullet"/>
      </w:pPr>
      <w:r>
        <w:t>Meeting notes and presentation material for decisions and progress reporting.</w:t>
      </w:r>
    </w:p>
    <w:p>
      <w:pPr>
        <w:pStyle w:val="ListBullet"/>
      </w:pPr>
      <w:r>
        <w:t>PRD, URS and TDM for requirements and design alignment.</w:t>
      </w:r>
    </w:p>
    <w:p>
      <w:pPr>
        <w:pStyle w:val="ListBullet"/>
      </w:pPr>
      <w:r>
        <w:t>Sprint 1 sample JSON files for cross-member interface coordination.</w:t>
      </w:r>
    </w:p>
    <w:p>
      <w:pPr>
        <w:pStyle w:val="Heading2"/>
        <w:keepNext/>
      </w:pPr>
      <w:r>
        <w:t>9.2 Project Website</w:t>
      </w:r>
    </w:p>
    <w:p>
      <w:r>
        <w:t>No deployed UIABO project website or public operational portal has been supplied. The current deliverables are the local Android prototype, source repository and submission documents. A website URL, hosting record and screenshots remain pending if a website is required.</w:t>
      </w:r>
    </w:p>
    <w:p/>
    <w:p>
      <w:pPr>
        <w:pStyle w:val="Heading2"/>
      </w:pPr>
      <w:r>
        <w:t>9.3 Communication management plan</w:t>
      </w:r>
    </w:p>
    <w:p>
      <w:r>
        <w:t>Proposed additions for team review. Existing evidence supports GitHub, shared documents and meeting notes; the cadence and escalation rules below are not claimed as previously approved practices.</w:t>
      </w:r>
    </w:p>
    <w:tbl>
      <w:tblPr>
        <w:tblStyle w:val="LightShading-Accent1"/>
        <w:tblW w:type="auto" w:w="0"/>
        <w:tblLook w:firstColumn="1" w:firstRow="1" w:lastColumn="0" w:lastRow="0" w:noHBand="0" w:noVBand="1" w:val="04A0"/>
      </w:tblPr>
      <w:tblGrid>
        <w:gridCol w:w="3213"/>
        <w:gridCol w:w="3213"/>
        <w:gridCol w:w="3213"/>
      </w:tblGrid>
      <w:tr>
        <w:trPr>
          <w:tblHeader/>
          <w:cantSplit/>
        </w:trPr>
        <w:tc>
          <w:tcPr>
            <w:tcW w:type="dxa" w:w="3213"/>
          </w:tcPr>
          <w:p>
            <w:pPr>
              <w:spacing w:after="100"/>
            </w:pPr>
            <w:r>
              <w:rPr>
                <w:sz w:val="19"/>
              </w:rPr>
              <w:t>Audience / purpose</w:t>
            </w:r>
          </w:p>
        </w:tc>
        <w:tc>
          <w:tcPr>
            <w:tcW w:type="dxa" w:w="3213"/>
          </w:tcPr>
          <w:p>
            <w:pPr>
              <w:spacing w:after="100"/>
            </w:pPr>
            <w:r>
              <w:rPr>
                <w:sz w:val="19"/>
              </w:rPr>
              <w:t>Channel / artifact</w:t>
            </w:r>
          </w:p>
        </w:tc>
        <w:tc>
          <w:tcPr>
            <w:tcW w:type="dxa" w:w="3213"/>
          </w:tcPr>
          <w:p>
            <w:pPr>
              <w:spacing w:after="100"/>
            </w:pPr>
            <w:r>
              <w:rPr>
                <w:sz w:val="19"/>
              </w:rPr>
              <w:t>Proposed trigger</w:t>
            </w:r>
          </w:p>
        </w:tc>
      </w:tr>
      <w:tr>
        <w:trPr>
          <w:cantSplit/>
        </w:trPr>
        <w:tc>
          <w:tcPr>
            <w:tcW w:type="dxa" w:w="3213"/>
          </w:tcPr>
          <w:p>
            <w:pPr>
              <w:spacing w:after="100"/>
            </w:pPr>
            <w:r>
              <w:rPr>
                <w:sz w:val="19"/>
              </w:rPr>
              <w:t>Team implementation coordination</w:t>
            </w:r>
          </w:p>
        </w:tc>
        <w:tc>
          <w:tcPr>
            <w:tcW w:type="dxa" w:w="3213"/>
          </w:tcPr>
          <w:p>
            <w:pPr>
              <w:spacing w:after="100"/>
            </w:pPr>
            <w:r>
              <w:rPr>
                <w:sz w:val="19"/>
              </w:rPr>
              <w:t>Repository changes, shared contracts, task list and blocker notes.</w:t>
            </w:r>
          </w:p>
        </w:tc>
        <w:tc>
          <w:tcPr>
            <w:tcW w:type="dxa" w:w="3213"/>
          </w:tcPr>
          <w:p>
            <w:pPr>
              <w:spacing w:after="100"/>
            </w:pPr>
            <w:r>
              <w:rPr>
                <w:sz w:val="19"/>
              </w:rPr>
              <w:t>Each handoff or blocker; include owner, next action and evidence.</w:t>
            </w:r>
          </w:p>
        </w:tc>
      </w:tr>
      <w:tr>
        <w:trPr>
          <w:cantSplit/>
        </w:trPr>
        <w:tc>
          <w:tcPr>
            <w:tcW w:type="dxa" w:w="3213"/>
          </w:tcPr>
          <w:p>
            <w:pPr>
              <w:spacing w:after="100"/>
            </w:pPr>
            <w:r>
              <w:rPr>
                <w:sz w:val="19"/>
              </w:rPr>
              <w:t>Supervisor progress/scope review</w:t>
            </w:r>
          </w:p>
        </w:tc>
        <w:tc>
          <w:tcPr>
            <w:tcW w:type="dxa" w:w="3213"/>
          </w:tcPr>
          <w:p>
            <w:pPr>
              <w:spacing w:after="100"/>
            </w:pPr>
            <w:r>
              <w:rPr>
                <w:sz w:val="19"/>
              </w:rPr>
              <w:t>Dated progress summary and demonstrable build.</w:t>
            </w:r>
          </w:p>
        </w:tc>
        <w:tc>
          <w:tcPr>
            <w:tcW w:type="dxa" w:w="3213"/>
          </w:tcPr>
          <w:p>
            <w:pPr>
              <w:spacing w:after="100"/>
            </w:pPr>
            <w:r>
              <w:rPr>
                <w:sz w:val="19"/>
              </w:rPr>
              <w:t>Agreed review meetings and material scope changes.</w:t>
            </w:r>
          </w:p>
        </w:tc>
      </w:tr>
      <w:tr>
        <w:trPr>
          <w:cantSplit/>
        </w:trPr>
        <w:tc>
          <w:tcPr>
            <w:tcW w:type="dxa" w:w="3213"/>
          </w:tcPr>
          <w:p>
            <w:pPr>
              <w:spacing w:after="100"/>
            </w:pPr>
            <w:r>
              <w:rPr>
                <w:sz w:val="19"/>
              </w:rPr>
              <w:t>Assessor delivery</w:t>
            </w:r>
          </w:p>
        </w:tc>
        <w:tc>
          <w:tcPr>
            <w:tcW w:type="dxa" w:w="3213"/>
          </w:tcPr>
          <w:p>
            <w:pPr>
              <w:spacing w:after="100"/>
            </w:pPr>
            <w:r>
              <w:rPr>
                <w:sz w:val="19"/>
              </w:rPr>
              <w:t>Submission PDFs, user manual and reproducible demonstration instructions.</w:t>
            </w:r>
          </w:p>
        </w:tc>
        <w:tc>
          <w:tcPr>
            <w:tcW w:type="dxa" w:w="3213"/>
          </w:tcPr>
          <w:p>
            <w:pPr>
              <w:spacing w:after="100"/>
            </w:pPr>
            <w:r>
              <w:rPr>
                <w:sz w:val="19"/>
              </w:rPr>
              <w:t>Required submission milestones.</w:t>
            </w:r>
          </w:p>
        </w:tc>
      </w:tr>
      <w:tr>
        <w:trPr>
          <w:cantSplit/>
        </w:trPr>
        <w:tc>
          <w:tcPr>
            <w:tcW w:type="dxa" w:w="3213"/>
          </w:tcPr>
          <w:p>
            <w:pPr>
              <w:spacing w:after="100"/>
            </w:pPr>
            <w:r>
              <w:rPr>
                <w:sz w:val="19"/>
              </w:rPr>
              <w:t>User feedback</w:t>
            </w:r>
          </w:p>
        </w:tc>
        <w:tc>
          <w:tcPr>
            <w:tcW w:type="dxa" w:w="3213"/>
          </w:tcPr>
          <w:p>
            <w:pPr>
              <w:spacing w:after="100"/>
            </w:pPr>
            <w:r>
              <w:rPr>
                <w:sz w:val="19"/>
              </w:rPr>
              <w:t>Planned usability notes and feedback/report workflows.</w:t>
            </w:r>
          </w:p>
        </w:tc>
        <w:tc>
          <w:tcPr>
            <w:tcW w:type="dxa" w:w="3213"/>
          </w:tcPr>
          <w:p>
            <w:pPr>
              <w:spacing w:after="100"/>
            </w:pPr>
            <w:r>
              <w:rPr>
                <w:sz w:val="19"/>
              </w:rPr>
              <w:t>Each approved study or implemented feedback submission.</w:t>
            </w:r>
          </w:p>
        </w:tc>
      </w:tr>
    </w:tbl>
    <w:p>
      <w:pPr>
        <w:pStyle w:val="Heading2"/>
      </w:pPr>
      <w:r>
        <w:t>9.4 Conflict escalation and document revision</w:t>
      </w:r>
    </w:p>
    <w:p>
      <w:pPr>
        <w:pStyle w:val="ListBullet"/>
      </w:pPr>
      <w:r>
        <w:t>Record the disputed requirement or technical decision, alternatives and impact in a shared note.</w:t>
      </w:r>
    </w:p>
    <w:p>
      <w:pPr>
        <w:pStyle w:val="ListBullet"/>
      </w:pPr>
      <w:r>
        <w:t>The affected component owners and project leader review it against the URS/TDM and prototype goal.</w:t>
      </w:r>
    </w:p>
    <w:p>
      <w:pPr>
        <w:pStyle w:val="ListBullet"/>
      </w:pPr>
      <w:r>
        <w:t>Escalate unresolved scope or academic-requirement questions to the supervisor; record the decision without inventing approval.</w:t>
      </w:r>
    </w:p>
    <w:p>
      <w:pPr>
        <w:pStyle w:val="ListBullet"/>
      </w:pPr>
      <w:r>
        <w:t>For interface changes, update schema, examples, tests and dependent components together.</w:t>
      </w:r>
    </w:p>
    <w:p>
      <w:pPr>
        <w:pStyle w:val="ListBullet"/>
      </w:pPr>
      <w:r>
        <w:t>For document revisions, retain the original, record the date/reason/source, refresh contents and review the exported PDF.</w:t>
      </w:r>
    </w:p>
    <w:p>
      <w:r>
        <w:rPr>
          <w:color w:val="536779"/>
          <w:sz w:val="18"/>
        </w:rPr>
        <w:t>Evidence / source: Existing Section 9, MeetingNotes and Sprint1/UIABO_SPRINT_1_TEAM_TASKS.md. The PUM and this PTD update provide dated documentation artifacts.</w:t>
      </w:r>
    </w:p>
    <w:sectPr w:rsidR="00FC693F" w:rsidRPr="0006063C" w:rsidSect="00034616">
      <w:headerReference w:type="default" r:id="rId9"/>
      <w:footerReference w:type="default" r:id="rId10"/>
      <w:pgSz w:w="11906" w:h="16838"/>
      <w:pgMar w:top="1020" w:right="1134" w:bottom="964"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Working draft 0.2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FYP-26-S3-30  |  Preliminary Technical Documentation  |  7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80" w:after="120" w:line="259" w:lineRule="auto"/>
      <w:outlineLvl w:val="0"/>
    </w:pPr>
    <w:rPr>
      <w:rFonts w:asciiTheme="majorHAnsi" w:eastAsiaTheme="majorEastAsia" w:hAnsiTheme="majorHAnsi" w:cstheme="majorBidi" w:ascii="Arial" w:hAnsi="Arial"/>
      <w:b/>
      <w:bCs/>
      <w:color w:val="173F56"/>
      <w:sz w:val="34"/>
      <w:szCs w:val="28"/>
    </w:rPr>
  </w:style>
  <w:style w:type="paragraph" w:styleId="Heading2">
    <w:name w:val="heading 2"/>
    <w:basedOn w:val="Normal"/>
    <w:next w:val="Normal"/>
    <w:link w:val="Heading2Char"/>
    <w:uiPriority w:val="9"/>
    <w:unhideWhenUsed/>
    <w:qFormat/>
    <w:rsid w:val="00FC693F"/>
    <w:pPr>
      <w:keepNext/>
      <w:keepLines/>
      <w:pageBreakBefore w:val="0"/>
      <w:spacing w:before="200" w:after="120" w:line="259" w:lineRule="auto"/>
      <w:outlineLvl w:val="1"/>
    </w:pPr>
    <w:rPr>
      <w:rFonts w:asciiTheme="majorHAnsi" w:eastAsiaTheme="majorEastAsia" w:hAnsiTheme="majorHAnsi" w:cstheme="majorBidi" w:ascii="Arial" w:hAnsi="Arial"/>
      <w:b/>
      <w:bCs/>
      <w:color w:val="173F56"/>
      <w:sz w:val="28"/>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120" w:line="259" w:lineRule="auto"/>
      <w:outlineLvl w:val="2"/>
    </w:pPr>
    <w:rPr>
      <w:rFonts w:asciiTheme="majorHAnsi" w:eastAsiaTheme="majorEastAsia" w:hAnsiTheme="majorHAnsi" w:cstheme="majorBidi" w:ascii="Arial" w:hAnsi="Arial"/>
      <w:b/>
      <w:bCs/>
      <w:color w:val="173F5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59" w:lineRule="auto"/>
      <w:contextualSpacing/>
    </w:pPr>
    <w:rPr>
      <w:rFonts w:asciiTheme="majorHAnsi" w:eastAsiaTheme="majorEastAsia" w:hAnsiTheme="majorHAnsi" w:cstheme="majorBidi" w:ascii="Arial" w:hAnsi="Arial"/>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Heading">
    <w:name w:val="Frontmatter Heading"/>
    <w:basedOn w:val="Heading2"/>
    <w:pPr>
      <w:outlineLvl w:val="9"/>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uiabo — Preliminary Technical Documentation</dc:title>
  <dc:subject/>
  <dc:creator>FYP-26-S3-30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