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12. Meeting Minutes</w:t>
      </w:r>
    </w:p>
    <w:p>
      <w:r>
        <w:t>Historical meeting records are retained as recorded; they are not rewritten to reflect later progress. The earlier note treating deepfake as scope-sensitive is superseded for current planning by the user’s confirmation that deepfake is required and audio excluded. This later clarification is not claimed as a recorded supervisor approval at the August meeting.</w:t>
      </w:r>
    </w:p>
    <w:p>
      <w:pPr>
        <w:pStyle w:val="Heading2"/>
        <w:keepNext/>
      </w:pPr>
      <w:r>
        <w:t>12.1 Implementation Planning Meeting – 13 August 2026</w:t>
      </w:r>
    </w:p>
    <w:p>
      <w:pPr>
        <w:pStyle w:val="FrontmatterHeading"/>
        <w:keepNext/>
      </w:pPr>
      <w:r>
        <w:t>Objective</w:t>
      </w:r>
    </w:p>
    <w:p>
      <w:r>
        <w:t>Review the current UIABO implementation, agree on the first evidence-backed misinformation pipeline and divide Sprint 1 work.</w:t>
      </w:r>
    </w:p>
    <w:p>
      <w:pPr>
        <w:pStyle w:val="FrontmatterHeading"/>
        <w:keepNext/>
      </w:pPr>
      <w:r>
        <w:t>Recorded Progress</w:t>
      </w:r>
    </w:p>
    <w:p>
      <w:pPr>
        <w:pStyle w:val="ListBullet"/>
      </w:pPr>
      <w:r>
        <w:t>Initial FastAPI application, health endpoint and text-analysis endpoint created.</w:t>
      </w:r>
    </w:p>
    <w:p>
      <w:pPr>
        <w:pStyle w:val="ListBullet"/>
      </w:pPr>
      <w:r>
        <w:t>Request and response validation and initial automated API tests completed.</w:t>
      </w:r>
    </w:p>
    <w:p>
      <w:pPr>
        <w:pStyle w:val="ListBullet"/>
      </w:pPr>
      <w:r>
        <w:t>Firebase project and Cloud Firestore connection established, with a successful write-and-read smoke test.</w:t>
      </w:r>
    </w:p>
    <w:p>
      <w:pPr>
        <w:pStyle w:val="ListBullet"/>
      </w:pPr>
      <w:r>
        <w:t>The original fixed mock result was identified as unsuitable for a real misinformation assessment.</w:t>
      </w:r>
    </w:p>
    <w:p>
      <w:pPr>
        <w:pStyle w:val="FrontmatterHeading"/>
        <w:keepNext/>
      </w:pPr>
      <w:r>
        <w:t>Decisions and Actions</w:t>
      </w:r>
    </w:p>
    <w:p>
      <w:pPr>
        <w:pStyle w:val="ListBullet"/>
      </w:pPr>
      <w:r>
        <w:t>Use a staged pipeline: input preparation, claim analysis, evidence retrieval, evidence assessment and final integration.</w:t>
      </w:r>
    </w:p>
    <w:p>
      <w:pPr>
        <w:pStyle w:val="ListBullet"/>
      </w:pPr>
      <w:r>
        <w:t>Develop against shared Pydantic and JSON interfaces so members can work independently.</w:t>
      </w:r>
    </w:p>
    <w:p>
      <w:pPr>
        <w:pStyle w:val="ListBullet"/>
      </w:pPr>
      <w:r>
        <w:t>Return Not Enough Information rather than inventing a risk score when a claim is not checkable or evidence is insufficient.</w:t>
      </w:r>
    </w:p>
    <w:p>
      <w:pPr>
        <w:pStyle w:val="ListBullet"/>
      </w:pPr>
      <w:r>
        <w:t>Treat deepfake or AI-generated-image detection as scope-sensitive until it is confirmed with the supervisor.</w:t>
      </w:r>
    </w:p>
    <w:p>
      <w:pPr>
        <w:pStyle w:val="ListBullet"/>
      </w:pPr>
      <w:r>
        <w:t>Create a small evaluation dataset and test each component before complete integration.</w:t>
      </w:r>
    </w:p>
    <w:p>
      <w:pPr>
        <w:pStyle w:val="Heading2"/>
        <w:keepNext/>
      </w:pPr>
      <w:r>
        <w:t>12.2 Available Supporting Records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
              <w:rPr>
                <w:rFonts w:ascii="Arial" w:hAnsi="Arial"/>
                <w:b/>
                <w:sz w:val="20"/>
              </w:rPr>
              <w:t>Record</w:t>
            </w:r>
          </w:p>
        </w:tc>
        <w:tc>
          <w:tcPr>
            <w:tcW w:type="dxa" w:w="4320"/>
            <w:vAlign w:val="center"/>
          </w:tcPr>
          <w:p>
            <w:r/>
            <w:r>
              <w:rPr>
                <w:rFonts w:ascii="Arial" w:hAnsi="Arial"/>
                <w:b/>
                <w:sz w:val="20"/>
              </w:rPr>
              <w:t>Purpose</w:t>
            </w:r>
          </w:p>
        </w:tc>
      </w:tr>
      <w:tr>
        <w:tc>
          <w:tcPr>
            <w:tcW w:type="dxa" w:w="4320"/>
            <w:vAlign w:val="center"/>
          </w:tcPr>
          <w:p>
            <w:r/>
            <w:r>
              <w:rPr>
                <w:rFonts w:ascii="Arial" w:hAnsi="Arial"/>
                <w:b w:val="0"/>
                <w:sz w:val="20"/>
              </w:rPr>
              <w:t>MeetingNotes/uiabo_meeting_notes.md</w:t>
            </w:r>
          </w:p>
        </w:tc>
        <w:tc>
          <w:tcPr>
            <w:tcW w:type="dxa" w:w="4320"/>
            <w:vAlign w:val="center"/>
          </w:tcPr>
          <w:p>
            <w:r/>
            <w:r>
              <w:rPr>
                <w:rFonts w:ascii="Arial" w:hAnsi="Arial"/>
                <w:b w:val="0"/>
                <w:sz w:val="20"/>
              </w:rPr>
              <w:t>Detailed implementation review, pipeline proposal and decisions required.</w:t>
            </w:r>
          </w:p>
        </w:tc>
      </w:tr>
      <w:tr>
        <w:tc>
          <w:tcPr>
            <w:tcW w:type="dxa" w:w="4320"/>
            <w:vAlign w:val="center"/>
          </w:tcPr>
          <w:p>
            <w:r/>
            <w:r>
              <w:rPr>
                <w:rFonts w:ascii="Arial" w:hAnsi="Arial"/>
                <w:b w:val="0"/>
                <w:sz w:val="20"/>
              </w:rPr>
              <w:t>MeetingNotes/team_meeting_brief_2026-08-13.md</w:t>
            </w:r>
          </w:p>
        </w:tc>
        <w:tc>
          <w:tcPr>
            <w:tcW w:type="dxa" w:w="4320"/>
            <w:vAlign w:val="center"/>
          </w:tcPr>
          <w:p>
            <w:r/>
            <w:r>
              <w:rPr>
                <w:rFonts w:ascii="Arial" w:hAnsi="Arial"/>
                <w:b w:val="0"/>
                <w:sz w:val="20"/>
              </w:rPr>
              <w:t>Condensed meeting brief and suggested next-sprint goal.</w:t>
            </w:r>
          </w:p>
        </w:tc>
      </w:tr>
      <w:tr>
        <w:tc>
          <w:tcPr>
            <w:tcW w:type="dxa" w:w="4320"/>
            <w:vAlign w:val="center"/>
          </w:tcPr>
          <w:p>
            <w:r/>
            <w:r>
              <w:rPr>
                <w:rFonts w:ascii="Arial" w:hAnsi="Arial"/>
                <w:b w:val="0"/>
                <w:sz w:val="20"/>
              </w:rPr>
              <w:t>MeetingNotes/Meeting1Slides.md</w:t>
            </w:r>
          </w:p>
        </w:tc>
        <w:tc>
          <w:tcPr>
            <w:tcW w:type="dxa" w:w="4320"/>
            <w:vAlign w:val="center"/>
          </w:tcPr>
          <w:p>
            <w:r/>
            <w:r>
              <w:rPr>
                <w:rFonts w:ascii="Arial" w:hAnsi="Arial"/>
                <w:b w:val="0"/>
                <w:sz w:val="20"/>
              </w:rPr>
              <w:t>Slides used to present the Sprint 1 plan.</w:t>
            </w:r>
          </w:p>
        </w:tc>
      </w:tr>
      <w:tr>
        <w:tc>
          <w:tcPr>
            <w:tcW w:type="dxa" w:w="4320"/>
            <w:vAlign w:val="center"/>
          </w:tcPr>
          <w:p>
            <w:r/>
            <w:r>
              <w:rPr>
                <w:rFonts w:ascii="Arial" w:hAnsi="Arial"/>
                <w:b w:val="0"/>
                <w:sz w:val="20"/>
              </w:rPr>
              <w:t>MeetingNotes/Meeting1_Speaker_Notes.md</w:t>
            </w:r>
          </w:p>
        </w:tc>
        <w:tc>
          <w:tcPr>
            <w:tcW w:type="dxa" w:w="4320"/>
            <w:vAlign w:val="center"/>
          </w:tcPr>
          <w:p>
            <w:r/>
            <w:r>
              <w:rPr>
                <w:rFonts w:ascii="Arial" w:hAnsi="Arial"/>
                <w:b w:val="0"/>
                <w:sz w:val="20"/>
              </w:rPr>
              <w:t>Slide-by-slide presentation guidance.</w:t>
            </w:r>
          </w:p>
        </w:tc>
      </w:tr>
      <w:tr>
        <w:tc>
          <w:tcPr>
            <w:tcW w:type="dxa" w:w="4320"/>
            <w:vAlign w:val="center"/>
          </w:tcPr>
          <w:p>
            <w:r/>
            <w:r>
              <w:rPr>
                <w:rFonts w:ascii="Arial" w:hAnsi="Arial"/>
                <w:b w:val="0"/>
                <w:sz w:val="20"/>
              </w:rPr>
              <w:t>MeetingNotes/Sprint1/UIABO_SPRINT_1_TEAM_TASKS.md</w:t>
            </w:r>
          </w:p>
        </w:tc>
        <w:tc>
          <w:tcPr>
            <w:tcW w:type="dxa" w:w="4320"/>
            <w:vAlign w:val="center"/>
          </w:tcPr>
          <w:p>
            <w:r/>
            <w:r>
              <w:rPr>
                <w:rFonts w:ascii="Arial" w:hAnsi="Arial"/>
                <w:b w:val="0"/>
                <w:sz w:val="20"/>
              </w:rPr>
              <w:t>Team ownership, interface examples and completion checklist.</w:t>
            </w:r>
          </w:p>
        </w:tc>
      </w:tr>
    </w:tbl>
    <w:p>
      <w:pPr>
        <w:pStyle w:val="Heading2"/>
      </w:pPr>
      <w:r>
        <w:t>12.3 Later progress records and missing minute fields</w:t>
      </w:r>
    </w:p>
    <w:p>
      <w:r>
        <w:t>The September provider and app-integration reports are technical progress evidence, not formal meeting minutes. No meeting time, attendance, minute taker or approval has been invented from those reports. Complete these fields from actual team records before final submission.</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