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14. Data Collection and Evidence Management</w:t>
      </w:r>
    </w:p>
    <w:p>
      <w:r>
        <w:t>This chapter adds the data-collection coverage present in the comparison sample. UIABO currently retrieves evidence at request time and uses existing cloud models. It has not trained a misinformation model on a completed proprietary dataset, and the planned data-ingestion portal is not implemented.</w:t>
      </w:r>
    </w:p>
    <w:p>
      <w:pPr>
        <w:pStyle w:val="Heading2"/>
      </w:pPr>
      <w:r>
        <w:t>14.1 Data sources</w:t>
      </w:r>
    </w:p>
    <w:tbl>
      <w:tblPr>
        <w:tblStyle w:val="LightShading-Accent1"/>
        <w:tblW w:type="auto" w:w="0"/>
        <w:tblLook w:firstColumn="1" w:firstRow="1" w:lastColumn="0" w:lastRow="0" w:noHBand="0" w:noVBand="1" w:val="04A0"/>
      </w:tblPr>
      <w:tblGrid>
        <w:gridCol w:w="2880"/>
        <w:gridCol w:w="2880"/>
        <w:gridCol w:w="2880"/>
      </w:tblGrid>
      <w:tr>
        <w:trPr>
          <w:tblHeader/>
          <w:cantSplit/>
        </w:trPr>
        <w:tc>
          <w:tcPr>
            <w:tcW w:type="dxa" w:w="2880"/>
          </w:tcPr>
          <w:p>
            <w:pPr>
              <w:spacing w:after="100"/>
            </w:pPr>
            <w:r>
              <w:rPr>
                <w:sz w:val="19"/>
              </w:rPr>
              <w:t>Source</w:t>
            </w:r>
          </w:p>
        </w:tc>
        <w:tc>
          <w:tcPr>
            <w:tcW w:type="dxa" w:w="2880"/>
          </w:tcPr>
          <w:p>
            <w:pPr>
              <w:spacing w:after="100"/>
            </w:pPr>
            <w:r>
              <w:rPr>
                <w:sz w:val="19"/>
              </w:rPr>
              <w:t>Data / role</w:t>
            </w:r>
          </w:p>
        </w:tc>
        <w:tc>
          <w:tcPr>
            <w:tcW w:type="dxa" w:w="2880"/>
          </w:tcPr>
          <w:p>
            <w:pPr>
              <w:spacing w:after="100"/>
            </w:pPr>
            <w:r>
              <w:rPr>
                <w:sz w:val="19"/>
              </w:rPr>
              <w:t>Limit</w:t>
            </w:r>
          </w:p>
        </w:tc>
      </w:tr>
      <w:tr>
        <w:trPr>
          <w:cantSplit/>
        </w:trPr>
        <w:tc>
          <w:tcPr>
            <w:tcW w:type="dxa" w:w="2880"/>
          </w:tcPr>
          <w:p>
            <w:pPr>
              <w:spacing w:after="100"/>
            </w:pPr>
            <w:r>
              <w:rPr>
                <w:sz w:val="19"/>
              </w:rPr>
              <w:t>User submission</w:t>
            </w:r>
          </w:p>
        </w:tc>
        <w:tc>
          <w:tcPr>
            <w:tcW w:type="dxa" w:w="2880"/>
          </w:tcPr>
          <w:p>
            <w:pPr>
              <w:spacing w:after="100"/>
            </w:pPr>
            <w:r>
              <w:rPr>
                <w:sz w:val="19"/>
              </w:rPr>
              <w:t>English text and original wording.</w:t>
            </w:r>
          </w:p>
        </w:tc>
        <w:tc>
          <w:tcPr>
            <w:tcW w:type="dxa" w:w="2880"/>
          </w:tcPr>
          <w:p>
            <w:pPr>
              <w:spacing w:after="100"/>
            </w:pPr>
            <w:r>
              <w:rPr>
                <w:sz w:val="19"/>
              </w:rPr>
              <w:t>May contain personal information, false claims or instructions; treat as untrusted.</w:t>
            </w:r>
          </w:p>
        </w:tc>
      </w:tr>
      <w:tr>
        <w:trPr>
          <w:cantSplit/>
        </w:trPr>
        <w:tc>
          <w:tcPr>
            <w:tcW w:type="dxa" w:w="2880"/>
          </w:tcPr>
          <w:p>
            <w:pPr>
              <w:spacing w:after="100"/>
            </w:pPr>
            <w:r>
              <w:rPr>
                <w:sz w:val="19"/>
              </w:rPr>
              <w:t>Google Fact Check Tools</w:t>
            </w:r>
          </w:p>
        </w:tc>
        <w:tc>
          <w:tcPr>
            <w:tcW w:type="dxa" w:w="2880"/>
          </w:tcPr>
          <w:p>
            <w:pPr>
              <w:spacing w:after="100"/>
            </w:pPr>
            <w:r>
              <w:rPr>
                <w:sz w:val="19"/>
              </w:rPr>
              <w:t>Previously reviewed claim metadata and review URLs.</w:t>
            </w:r>
          </w:p>
        </w:tc>
        <w:tc>
          <w:tcPr>
            <w:tcW w:type="dxa" w:w="2880"/>
          </w:tcPr>
          <w:p>
            <w:pPr>
              <w:spacing w:after="100"/>
            </w:pPr>
            <w:r>
              <w:rPr>
                <w:sz w:val="19"/>
              </w:rPr>
              <w:t>A reviewed claim match is discovery, not sufficient evidence by itself.</w:t>
            </w:r>
          </w:p>
        </w:tc>
      </w:tr>
      <w:tr>
        <w:trPr>
          <w:cantSplit/>
        </w:trPr>
        <w:tc>
          <w:tcPr>
            <w:tcW w:type="dxa" w:w="2880"/>
          </w:tcPr>
          <w:p>
            <w:pPr>
              <w:spacing w:after="100"/>
            </w:pPr>
            <w:r>
              <w:rPr>
                <w:sz w:val="19"/>
              </w:rPr>
              <w:t>Tavily extraction/search</w:t>
            </w:r>
          </w:p>
        </w:tc>
        <w:tc>
          <w:tcPr>
            <w:tcW w:type="dxa" w:w="2880"/>
          </w:tcPr>
          <w:p>
            <w:pPr>
              <w:spacing w:after="100"/>
            </w:pPr>
            <w:r>
              <w:rPr>
                <w:sz w:val="19"/>
              </w:rPr>
              <w:t>Page passages, titles, URLs and available dates from scoped web sources.</w:t>
            </w:r>
          </w:p>
        </w:tc>
        <w:tc>
          <w:tcPr>
            <w:tcW w:type="dxa" w:w="2880"/>
          </w:tcPr>
          <w:p>
            <w:pPr>
              <w:spacing w:after="100"/>
            </w:pPr>
            <w:r>
              <w:rPr>
                <w:sz w:val="19"/>
              </w:rPr>
              <w:t>Pages may be unavailable, truncated or out of context.</w:t>
            </w:r>
          </w:p>
        </w:tc>
      </w:tr>
      <w:tr>
        <w:trPr>
          <w:cantSplit/>
        </w:trPr>
        <w:tc>
          <w:tcPr>
            <w:tcW w:type="dxa" w:w="2880"/>
          </w:tcPr>
          <w:p>
            <w:pPr>
              <w:spacing w:after="100"/>
            </w:pPr>
            <w:r>
              <w:rPr>
                <w:sz w:val="19"/>
              </w:rPr>
              <w:t>Runtime source catalogue</w:t>
            </w:r>
          </w:p>
        </w:tc>
        <w:tc>
          <w:tcPr>
            <w:tcW w:type="dxa" w:w="2880"/>
          </w:tcPr>
          <w:p>
            <w:pPr>
              <w:spacing w:after="100"/>
            </w:pPr>
            <w:r>
              <w:rPr>
                <w:sz w:val="19"/>
              </w:rPr>
              <w:t>gov.sg, nasa.gov, snopes.com, fullfact.org, factcheck.org, reuters.com, apnews.com, channelnewsasia.com, nus.edu.sg.</w:t>
            </w:r>
          </w:p>
        </w:tc>
        <w:tc>
          <w:tcPr>
            <w:tcW w:type="dxa" w:w="2880"/>
          </w:tcPr>
          <w:p>
            <w:pPr>
              <w:spacing w:after="100"/>
            </w:pPr>
            <w:r>
              <w:rPr>
                <w:sz w:val="19"/>
              </w:rPr>
              <w:t>Initial English allowlist; inclusion does not guarantee truth, independence or peer review.</w:t>
            </w:r>
          </w:p>
        </w:tc>
      </w:tr>
      <w:tr>
        <w:trPr>
          <w:cantSplit/>
        </w:trPr>
        <w:tc>
          <w:tcPr>
            <w:tcW w:type="dxa" w:w="2880"/>
          </w:tcPr>
          <w:p>
            <w:pPr>
              <w:spacing w:after="100"/>
            </w:pPr>
            <w:r>
              <w:rPr>
                <w:sz w:val="19"/>
              </w:rPr>
              <w:t>Team evaluation samples</w:t>
            </w:r>
          </w:p>
        </w:tc>
        <w:tc>
          <w:tcPr>
            <w:tcW w:type="dxa" w:w="2880"/>
          </w:tcPr>
          <w:p>
            <w:pPr>
              <w:spacing w:after="100"/>
            </w:pPr>
            <w:r>
              <w:rPr>
                <w:sz w:val="19"/>
              </w:rPr>
              <w:t>Fixed handoff fixtures and synthetic claim/assessment examples.</w:t>
            </w:r>
          </w:p>
        </w:tc>
        <w:tc>
          <w:tcPr>
            <w:tcW w:type="dxa" w:w="2880"/>
          </w:tcPr>
          <w:p>
            <w:pPr>
              <w:spacing w:after="100"/>
            </w:pPr>
            <w:r>
              <w:rPr>
                <w:sz w:val="19"/>
              </w:rPr>
              <w:t>Development tests; insufficient as independent evaluation or a training corpus.</w:t>
            </w:r>
          </w:p>
        </w:tc>
      </w:tr>
    </w:tbl>
    <w:p>
      <w:pPr>
        <w:pStyle w:val="Heading2"/>
      </w:pPr>
      <w:r>
        <w:t>14.2 Types of data and provenance</w:t>
      </w:r>
    </w:p>
    <w:tbl>
      <w:tblPr>
        <w:tblStyle w:val="LightShading-Accent1"/>
        <w:tblW w:type="auto" w:w="0"/>
        <w:tblLook w:firstColumn="1" w:firstRow="1" w:lastColumn="0" w:lastRow="0" w:noHBand="0" w:noVBand="1" w:val="04A0"/>
      </w:tblPr>
      <w:tblGrid>
        <w:gridCol w:w="4320"/>
        <w:gridCol w:w="4320"/>
      </w:tblGrid>
      <w:tr>
        <w:trPr>
          <w:tblHeader/>
          <w:cantSplit/>
        </w:trPr>
        <w:tc>
          <w:tcPr>
            <w:tcW w:type="dxa" w:w="4320"/>
          </w:tcPr>
          <w:p>
            <w:pPr>
              <w:spacing w:after="100"/>
            </w:pPr>
            <w:r>
              <w:rPr>
                <w:sz w:val="19"/>
              </w:rPr>
              <w:t>Data group</w:t>
            </w:r>
          </w:p>
        </w:tc>
        <w:tc>
          <w:tcPr>
            <w:tcW w:type="dxa" w:w="4320"/>
          </w:tcPr>
          <w:p>
            <w:pPr>
              <w:spacing w:after="100"/>
            </w:pPr>
            <w:r>
              <w:rPr>
                <w:sz w:val="19"/>
              </w:rPr>
              <w:t>Fields / treatment</w:t>
            </w:r>
          </w:p>
        </w:tc>
      </w:tr>
      <w:tr>
        <w:trPr>
          <w:cantSplit/>
        </w:trPr>
        <w:tc>
          <w:tcPr>
            <w:tcW w:type="dxa" w:w="4320"/>
          </w:tcPr>
          <w:p>
            <w:pPr>
              <w:spacing w:after="100"/>
            </w:pPr>
            <w:r>
              <w:rPr>
                <w:sz w:val="19"/>
              </w:rPr>
              <w:t>Identity and access</w:t>
            </w:r>
          </w:p>
        </w:tc>
        <w:tc>
          <w:tcPr>
            <w:tcW w:type="dxa" w:w="4320"/>
          </w:tcPr>
          <w:p>
            <w:pPr>
              <w:spacing w:after="100"/>
            </w:pPr>
            <w:r>
              <w:rPr>
                <w:sz w:val="19"/>
              </w:rPr>
              <w:t>Firebase UID, name/email, verification, account status and role; passwords remain in Firebase Authentication.</w:t>
            </w:r>
          </w:p>
        </w:tc>
      </w:tr>
      <w:tr>
        <w:trPr>
          <w:cantSplit/>
        </w:trPr>
        <w:tc>
          <w:tcPr>
            <w:tcW w:type="dxa" w:w="4320"/>
          </w:tcPr>
          <w:p>
            <w:pPr>
              <w:spacing w:after="100"/>
            </w:pPr>
            <w:r>
              <w:rPr>
                <w:sz w:val="19"/>
              </w:rPr>
              <w:t>Claim</w:t>
            </w:r>
          </w:p>
        </w:tc>
        <w:tc>
          <w:tcPr>
            <w:tcW w:type="dxa" w:w="4320"/>
          </w:tcPr>
          <w:p>
            <w:pPr>
              <w:spacing w:after="100"/>
            </w:pPr>
            <w:r>
              <w:rPr>
                <w:sz w:val="19"/>
              </w:rPr>
              <w:t>Original/normalized input, extracted source span, category, checkability, classification reason and agreement.</w:t>
            </w:r>
          </w:p>
        </w:tc>
      </w:tr>
      <w:tr>
        <w:trPr>
          <w:cantSplit/>
        </w:trPr>
        <w:tc>
          <w:tcPr>
            <w:tcW w:type="dxa" w:w="4320"/>
          </w:tcPr>
          <w:p>
            <w:pPr>
              <w:spacing w:after="100"/>
            </w:pPr>
            <w:r>
              <w:rPr>
                <w:sz w:val="19"/>
              </w:rPr>
              <w:t>Evidence</w:t>
            </w:r>
          </w:p>
        </w:tc>
        <w:tc>
          <w:tcPr>
            <w:tcW w:type="dxa" w:w="4320"/>
          </w:tcPr>
          <w:p>
            <w:pPr>
              <w:spacing w:after="100"/>
            </w:pPr>
            <w:r>
              <w:rPr>
                <w:sz w:val="19"/>
              </w:rPr>
              <w:t>Evidence ID, title, source URL, publisher/domain, optional author/date, passage, source type, relevance and retrieval timestamp.</w:t>
            </w:r>
          </w:p>
        </w:tc>
      </w:tr>
      <w:tr>
        <w:trPr>
          <w:cantSplit/>
        </w:trPr>
        <w:tc>
          <w:tcPr>
            <w:tcW w:type="dxa" w:w="4320"/>
          </w:tcPr>
          <w:p>
            <w:pPr>
              <w:spacing w:after="100"/>
            </w:pPr>
            <w:r>
              <w:rPr>
                <w:sz w:val="19"/>
              </w:rPr>
              <w:t>Assessment/result</w:t>
            </w:r>
          </w:p>
        </w:tc>
        <w:tc>
          <w:tcPr>
            <w:tcW w:type="dxa" w:w="4320"/>
          </w:tcPr>
          <w:p>
            <w:pPr>
              <w:spacing w:after="100"/>
            </w:pPr>
            <w:r>
              <w:rPr>
                <w:sz w:val="19"/>
              </w:rPr>
              <w:t>Stance, quality, concern label, heuristic score or null, uncertainty, explanation, next action, warnings and pipeline version.</w:t>
            </w:r>
          </w:p>
        </w:tc>
      </w:tr>
      <w:tr>
        <w:trPr>
          <w:cantSplit/>
        </w:trPr>
        <w:tc>
          <w:tcPr>
            <w:tcW w:type="dxa" w:w="4320"/>
          </w:tcPr>
          <w:p>
            <w:pPr>
              <w:spacing w:after="100"/>
            </w:pPr>
            <w:r>
              <w:rPr>
                <w:sz w:val="19"/>
              </w:rPr>
              <w:t>Usage and recovery</w:t>
            </w:r>
          </w:p>
        </w:tc>
        <w:tc>
          <w:tcPr>
            <w:tcW w:type="dxa" w:w="4320"/>
          </w:tcPr>
          <w:p>
            <w:pPr>
              <w:spacing w:after="100"/>
            </w:pPr>
            <w:r>
              <w:rPr>
                <w:sz w:val="19"/>
              </w:rPr>
              <w:t>Owner, result/request identifiers, fingerprint, timestamps, lease and applicable allowance period.</w:t>
            </w:r>
          </w:p>
        </w:tc>
      </w:tr>
    </w:tbl>
    <w:p>
      <w:pPr>
        <w:pStyle w:val="Heading2"/>
      </w:pPr>
      <w:r>
        <w:t>14.3 Collection methods</w:t>
      </w:r>
    </w:p>
    <w:p>
      <w:r>
        <w:t>For checkable content, search up to five English reviewed claims; accept catalogue URLs and extract up to three review pages. Preserve a labelled claim/verdict block when it agrees with provider metadata. If fewer than two distinct passages remain, run scoped advanced search requesting up to eight results. Validate and rank up to six final evidence items. Provider-generated answers are disabled in that search request.</w:t>
      </w:r>
    </w:p>
    <w:p>
      <w:r>
        <w:t>Google failure or unusable page extraction can trigger the search fallback. A successful empty search is distinguished from provider failure. Partial failure with usable evidence retains warnings. These are current bounded request-time operations, not a scheduled crawling or ingestion service.</w:t>
      </w:r>
    </w:p>
    <w:p>
      <w:pPr>
        <w:pStyle w:val="Heading2"/>
      </w:pPr>
      <w:r>
        <w:t>14.4 Preprocessing and quality controls</w:t>
      </w:r>
    </w:p>
    <w:p>
      <w:pPr>
        <w:pStyle w:val="ListBullet"/>
      </w:pPr>
      <w:r>
        <w:t>Preserve original input; normalize Unicode composition and whitespace while preserving meaning-bearing wording and punctuation.</w:t>
      </w:r>
    </w:p>
    <w:p>
      <w:pPr>
        <w:pStyle w:val="ListBullet"/>
      </w:pPr>
      <w:r>
        <w:t>Validate English, input length and usable content. Flag instruction-like content instead of deleting arbitrary claim text.</w:t>
      </w:r>
    </w:p>
    <w:p>
      <w:pPr>
        <w:pStyle w:val="ListBullet"/>
      </w:pPr>
      <w:r>
        <w:t>Validate source URL scheme/domain and citation fields; retain meaningful URL query identifiers while removing tracking fragments/parameters.</w:t>
      </w:r>
    </w:p>
    <w:p>
      <w:pPr>
        <w:pStyle w:val="ListBullet"/>
      </w:pPr>
      <w:r>
        <w:t>Remove duplicate URLs/content. This reduces duplication but does not establish independent corroboration.</w:t>
      </w:r>
    </w:p>
    <w:p>
      <w:pPr>
        <w:pStyle w:val="ListBullet"/>
      </w:pPr>
      <w:r>
        <w:t>Keep unknown publication dates null; do not substitute event dates or claim dates.</w:t>
      </w:r>
    </w:p>
    <w:p>
      <w:pPr>
        <w:pStyle w:val="ListBullet"/>
      </w:pPr>
      <w:r>
        <w:t>Retain evidence snapshots with the result so later source changes do not silently rewrite the original explanation.</w:t>
      </w:r>
    </w:p>
    <w:p>
      <w:r>
        <w:t>Current relevance thresholds use lexical coverage and provider relevance. These scores are not truth probabilities. Related passages may omit a decisive condition, and older sources may remain useful for historical claims; recency must be interpreted in context.</w:t>
      </w:r>
    </w:p>
    <w:p>
      <w:pPr>
        <w:pStyle w:val="Heading2"/>
      </w:pPr>
      <w:r>
        <w:t>14.5 Privacy, access and data lifecycle</w:t>
      </w:r>
    </w:p>
    <w:p>
      <w:r>
        <w:t>Analysis text is sent to the configured cloud claim service, and the extracted claim is used in external evidence searches. The system therefore has external processing dependencies. The final user-facing privacy notice, retention schedule, deletion workflow and review of provider terms/processing arrangements are outstanding. Public accessibility of a source does not establish unrestricted reuse rights.</w:t>
      </w:r>
    </w:p>
    <w:p>
      <w:r>
        <w:t>Current safeguards include backend-only provider secrets, verified/active-account checks, owned result access and no payment-card data collection. Do not present these focused measures as a complete privacy or legal-compliance assessment. Demonstrations should use dedicated accounts and non-sensitive example text.</w:t>
      </w:r>
    </w:p>
    <w:p>
      <w:pPr>
        <w:pStyle w:val="Heading2"/>
      </w:pPr>
      <w:r>
        <w:t>14.6 Evaluation dataset plan</w:t>
      </w:r>
    </w:p>
    <w:p>
      <w:r>
        <w:t>Build a versioned claim-and-evidence dataset with the original claim, date/context, expected verdict, decisive cited passages and annotation rationale. Record provenance and usage conditions. Label/reconcile independently, separate development from held-out evaluation, and retain failure cases. The proposed 60–100-case starting set in Section 8.6 is not a completed dataset or final sample-size justification.</w:t>
      </w:r>
    </w:p>
    <w:p>
      <w:r>
        <w:rPr>
          <w:color w:val="536779"/>
          <w:sz w:val="18"/>
        </w:rPr>
        <w:t>Evidence / source: Current retrieval/input implementations, shared models, source catalogue and saved integration reports; provider documentation in Section 13.</w:t>
      </w: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Working draft 0.2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FYP-26-S3-30  |  Preliminary Technical Documentation  |  7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120" w:line="259" w:lineRule="auto"/>
      <w:outlineLvl w:val="0"/>
    </w:pPr>
    <w:rPr>
      <w:rFonts w:asciiTheme="majorHAnsi" w:eastAsiaTheme="majorEastAsia" w:hAnsiTheme="majorHAnsi" w:cstheme="majorBidi" w:ascii="Arial" w:hAnsi="Arial"/>
      <w:b/>
      <w:bCs/>
      <w:color w:val="173F56"/>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20" w:line="259" w:lineRule="auto"/>
      <w:outlineLvl w:val="1"/>
    </w:pPr>
    <w:rPr>
      <w:rFonts w:asciiTheme="majorHAnsi" w:eastAsiaTheme="majorEastAsia" w:hAnsiTheme="majorHAnsi" w:cstheme="majorBidi" w:ascii="Arial" w:hAnsi="Arial"/>
      <w:b/>
      <w:bCs/>
      <w:color w:val="173F56"/>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120" w:line="259" w:lineRule="auto"/>
      <w:outlineLvl w:val="2"/>
    </w:pPr>
    <w:rPr>
      <w:rFonts w:asciiTheme="majorHAnsi" w:eastAsiaTheme="majorEastAsia" w:hAnsiTheme="majorHAnsi" w:cstheme="majorBidi" w:ascii="Arial" w:hAnsi="Arial"/>
      <w:b/>
      <w:bCs/>
      <w:color w:val="173F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59" w:lineRule="auto"/>
      <w:contextualSpacing/>
    </w:pPr>
    <w:rPr>
      <w:rFonts w:asciiTheme="majorHAnsi" w:eastAsiaTheme="majorEastAsia" w:hAnsiTheme="majorHAnsi" w:cstheme="majorBidi" w:ascii="Arial" w:hAnsi="Arial"/>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matter Heading"/>
    <w:basedOn w:val="Heading2"/>
    <w:pPr>
      <w:outlineLvl w:val="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uiabo — Preliminary Technical Documentation</dc:title>
  <dc:subject/>
  <dc:creator>FYP-26-S3-30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