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6. Requirement Definition</w:t>
      </w:r>
    </w:p>
    <w:p>
      <w:pPr>
        <w:pStyle w:val="Heading2"/>
      </w:pPr>
      <w:r>
        <w:rPr>
          <w:rFonts w:ascii="Arial" w:hAnsi="Arial"/>
          <w:b/>
          <w:color w:val="000000"/>
          <w:sz w:val="24"/>
        </w:rPr>
        <w:t>6.1 Stakeholder Identification</w:t>
      </w:r>
    </w:p>
    <w:p>
      <w:pPr>
        <w:pageBreakBefore w:val="0"/>
        <w:jc w:val="both"/>
      </w:pPr>
      <w:r>
        <w:t>Requirements evidence consists of the PRD’s documented product research, the URS user stories/use cases, TDM diagrams and screens, available meeting notes, and subsequent user scope clarifications. The primary audience is older Singapore Android users; operational roles and academic reviewers are identified in Section 3. No completed user interview, survey or focus-group study is claimed without its records.</w:t>
      </w:r>
    </w:p>
    <w:p>
      <w:pPr>
        <w:pStyle w:val="Heading2"/>
      </w:pPr>
      <w:r>
        <w:rPr>
          <w:rFonts w:ascii="Arial" w:hAnsi="Arial"/>
          <w:b/>
          <w:color w:val="000000"/>
          <w:sz w:val="24"/>
        </w:rPr>
        <w:t>6.2 Requirement Gathering Methods</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keepNext w:val="0"/>
              <w:spacing w:after="80" w:line="240" w:lineRule="auto"/>
            </w:pPr>
            <w:r>
              <w:rPr>
                <w:rFonts w:ascii="Arial" w:hAnsi="Arial"/>
                <w:b/>
                <w:sz w:val="20"/>
              </w:rPr>
              <w:t>Method</w:t>
            </w:r>
          </w:p>
        </w:tc>
        <w:tc>
          <w:tcPr>
            <w:tcW w:type="dxa" w:w="4320"/>
          </w:tcPr>
          <w:p>
            <w:pPr>
              <w:keepNext w:val="0"/>
              <w:spacing w:after="80" w:line="240" w:lineRule="auto"/>
            </w:pPr>
            <w:r>
              <w:rPr>
                <w:rFonts w:ascii="Arial" w:hAnsi="Arial"/>
                <w:b/>
                <w:sz w:val="20"/>
              </w:rPr>
              <w:t>Available evidence and limitation</w:t>
            </w:r>
          </w:p>
        </w:tc>
      </w:tr>
      <w:tr>
        <w:tc>
          <w:tcPr>
            <w:tcW w:type="dxa" w:w="4320"/>
          </w:tcPr>
          <w:p>
            <w:pPr>
              <w:keepNext w:val="0"/>
              <w:spacing w:after="80" w:line="240" w:lineRule="auto"/>
            </w:pPr>
            <w:r>
              <w:rPr>
                <w:rFonts w:ascii="Arial" w:hAnsi="Arial"/>
                <w:sz w:val="20"/>
              </w:rPr>
              <w:t>Document analysis</w:t>
            </w:r>
          </w:p>
        </w:tc>
        <w:tc>
          <w:tcPr>
            <w:tcW w:type="dxa" w:w="4320"/>
          </w:tcPr>
          <w:p>
            <w:pPr>
              <w:keepNext w:val="0"/>
              <w:spacing w:after="80" w:line="240" w:lineRule="auto"/>
            </w:pPr>
            <w:r>
              <w:rPr>
                <w:rFonts w:ascii="Arial" w:hAnsi="Arial"/>
                <w:sz w:val="20"/>
              </w:rPr>
              <w:t>PRD scope and product research, URS requirements/use cases and TDM design.</w:t>
            </w:r>
          </w:p>
        </w:tc>
      </w:tr>
      <w:tr>
        <w:tc>
          <w:tcPr>
            <w:tcW w:type="dxa" w:w="4320"/>
          </w:tcPr>
          <w:p>
            <w:pPr>
              <w:keepNext w:val="0"/>
              <w:spacing w:after="80" w:line="240" w:lineRule="auto"/>
            </w:pPr>
            <w:r>
              <w:rPr>
                <w:rFonts w:ascii="Arial" w:hAnsi="Arial"/>
                <w:sz w:val="20"/>
              </w:rPr>
              <w:t>Team discussion and scope clarification</w:t>
            </w:r>
          </w:p>
        </w:tc>
        <w:tc>
          <w:tcPr>
            <w:tcW w:type="dxa" w:w="4320"/>
          </w:tcPr>
          <w:p>
            <w:pPr>
              <w:keepNext w:val="0"/>
              <w:spacing w:after="80" w:line="240" w:lineRule="auto"/>
            </w:pPr>
            <w:r>
              <w:rPr>
                <w:rFonts w:ascii="Arial" w:hAnsi="Arial"/>
                <w:sz w:val="20"/>
              </w:rPr>
              <w:t>Available meeting records and confirmed September prototype scope; deepfake required and audio excluded.</w:t>
            </w:r>
          </w:p>
        </w:tc>
      </w:tr>
      <w:tr>
        <w:tc>
          <w:tcPr>
            <w:tcW w:type="dxa" w:w="4320"/>
          </w:tcPr>
          <w:p>
            <w:pPr>
              <w:keepNext w:val="0"/>
              <w:spacing w:after="80" w:line="240" w:lineRule="auto"/>
            </w:pPr>
            <w:r>
              <w:rPr>
                <w:rFonts w:ascii="Arial" w:hAnsi="Arial"/>
                <w:sz w:val="20"/>
              </w:rPr>
              <w:t>Prototype inspection and testing</w:t>
            </w:r>
          </w:p>
        </w:tc>
        <w:tc>
          <w:tcPr>
            <w:tcW w:type="dxa" w:w="4320"/>
          </w:tcPr>
          <w:p>
            <w:pPr>
              <w:keepNext w:val="0"/>
              <w:spacing w:after="80" w:line="240" w:lineRule="auto"/>
            </w:pPr>
            <w:r>
              <w:rPr>
                <w:rFonts w:ascii="Arial" w:hAnsi="Arial"/>
                <w:sz w:val="20"/>
              </w:rPr>
              <w:t>Dated API, pipeline and Android/Firestore records identify integration and usability questions.</w:t>
            </w:r>
          </w:p>
        </w:tc>
      </w:tr>
      <w:tr>
        <w:tc>
          <w:tcPr>
            <w:tcW w:type="dxa" w:w="4320"/>
          </w:tcPr>
          <w:p>
            <w:pPr>
              <w:keepNext w:val="0"/>
              <w:spacing w:after="80" w:line="240" w:lineRule="auto"/>
            </w:pPr>
            <w:r>
              <w:rPr>
                <w:rFonts w:ascii="Arial" w:hAnsi="Arial"/>
                <w:sz w:val="20"/>
              </w:rPr>
              <w:t>End-user research</w:t>
            </w:r>
          </w:p>
        </w:tc>
        <w:tc>
          <w:tcPr>
            <w:tcW w:type="dxa" w:w="4320"/>
          </w:tcPr>
          <w:p>
            <w:pPr>
              <w:keepNext w:val="0"/>
              <w:spacing w:after="80" w:line="240" w:lineRule="auto"/>
            </w:pPr>
            <w:r>
              <w:rPr>
                <w:rFonts w:ascii="Arial" w:hAnsi="Arial"/>
                <w:sz w:val="20"/>
              </w:rPr>
              <w:t>No completed interview, survey or focus-group records are supplied. Older-user research and consent materials remain to be prepared.</w:t>
            </w:r>
          </w:p>
        </w:tc>
      </w:tr>
    </w:tbl>
    <w:p>
      <w:pPr>
        <w:pStyle w:val="Heading2"/>
      </w:pPr>
      <w:r>
        <w:rPr>
          <w:rFonts w:ascii="Arial" w:hAnsi="Arial"/>
          <w:b/>
          <w:color w:val="000000"/>
          <w:sz w:val="24"/>
        </w:rPr>
        <w:t>6.3 Requirement Analysis Approach</w:t>
      </w:r>
    </w:p>
    <w:p>
      <w:pPr>
        <w:pageBreakBefore w:val="0"/>
        <w:jc w:val="both"/>
      </w:pPr>
      <w:r>
        <w:t>The URS distinguishes base requirements PF-B01–B16 and additional requirements PF-A01–A04. The team’s Sprint 1 goal is the basic text pipeline. The user clarified a September Android-emulator prototype and confirmed deepfake as required while excluding audio. These statements narrow the immediate increment; they do not silently remove required final-project features.</w:t>
      </w:r>
    </w:p>
    <w:p>
      <w:pPr>
        <w:pageBreakBefore w:val="0"/>
        <w:jc w:val="both"/>
      </w:pPr>
      <w:r>
        <w:t>The analysis approach maps each user action to a use case, component boundary, data record and verification artifact. Feasibility is judged against evidence quality, external dependencies, UI effort and schedule. Changes affecting scope or shared field names should be recorded and reviewed with affected owners; unresolved academic requirements need supervisor clarification.</w:t>
      </w:r>
    </w:p>
    <w:p>
      <w:pPr>
        <w:pStyle w:val="Heading2"/>
      </w:pPr>
      <w:r>
        <w:rPr>
          <w:rFonts w:ascii="Arial" w:hAnsi="Arial"/>
          <w:b/>
          <w:color w:val="000000"/>
          <w:sz w:val="24"/>
        </w:rPr>
        <w:t>6.4 Summary of User and System Needs</w:t>
      </w:r>
    </w:p>
    <w:tbl>
      <w:tblPr>
        <w:tblStyle w:val="LightShading-Accent1"/>
        <w:tblW w:type="auto" w:w="0"/>
        <w:tblLook w:firstColumn="1" w:firstRow="1" w:lastColumn="0" w:lastRow="0" w:noHBand="0" w:noVBand="1" w:val="04A0"/>
      </w:tblPr>
      <w:tblGrid>
        <w:gridCol w:w="4320"/>
        <w:gridCol w:w="4320"/>
      </w:tblGrid>
      <w:tr>
        <w:trPr>
          <w:tblHeader/>
          <w:cantSplit/>
        </w:trPr>
        <w:tc>
          <w:tcPr>
            <w:tcW w:type="dxa" w:w="4320"/>
          </w:tcPr>
          <w:p>
            <w:pPr>
              <w:keepNext w:val="0"/>
              <w:spacing w:after="80" w:line="240" w:lineRule="auto"/>
            </w:pPr>
            <w:r>
              <w:rPr>
                <w:rFonts w:ascii="Arial" w:hAnsi="Arial"/>
                <w:b/>
                <w:sz w:val="19"/>
              </w:rPr>
              <w:t>Module</w:t>
            </w:r>
          </w:p>
        </w:tc>
        <w:tc>
          <w:tcPr>
            <w:tcW w:type="dxa" w:w="4320"/>
          </w:tcPr>
          <w:p>
            <w:pPr>
              <w:keepNext w:val="0"/>
              <w:spacing w:after="80" w:line="240" w:lineRule="auto"/>
            </w:pPr>
            <w:r>
              <w:rPr>
                <w:rFonts w:ascii="Arial" w:hAnsi="Arial"/>
                <w:b/>
                <w:sz w:val="19"/>
              </w:rPr>
              <w:t>Functions / roles</w:t>
            </w:r>
          </w:p>
        </w:tc>
      </w:tr>
      <w:tr>
        <w:trPr>
          <w:cantSplit/>
        </w:trPr>
        <w:tc>
          <w:tcPr>
            <w:tcW w:type="dxa" w:w="4320"/>
          </w:tcPr>
          <w:p>
            <w:pPr>
              <w:keepNext w:val="0"/>
              <w:spacing w:after="80" w:line="240" w:lineRule="auto"/>
            </w:pPr>
            <w:r>
              <w:rPr>
                <w:rFonts w:ascii="Arial" w:hAnsi="Arial"/>
                <w:sz w:val="19"/>
              </w:rPr>
              <w:t>Individual account management</w:t>
            </w:r>
          </w:p>
        </w:tc>
        <w:tc>
          <w:tcPr>
            <w:tcW w:type="dxa" w:w="4320"/>
          </w:tcPr>
          <w:p>
            <w:pPr>
              <w:keepNext w:val="0"/>
              <w:spacing w:after="80" w:line="240" w:lineRule="auto"/>
            </w:pPr>
            <w:r>
              <w:rPr>
                <w:rFonts w:ascii="Arial" w:hAnsi="Arial"/>
                <w:sz w:val="19"/>
              </w:rPr>
              <w:t>Free/premium registration/access, verification, profile, allowance; deletion and billing planned.</w:t>
            </w:r>
          </w:p>
        </w:tc>
      </w:tr>
      <w:tr>
        <w:trPr>
          <w:cantSplit/>
        </w:trPr>
        <w:tc>
          <w:tcPr>
            <w:tcW w:type="dxa" w:w="4320"/>
          </w:tcPr>
          <w:p>
            <w:pPr>
              <w:keepNext w:val="0"/>
              <w:spacing w:after="80" w:line="240" w:lineRule="auto"/>
            </w:pPr>
            <w:r>
              <w:rPr>
                <w:rFonts w:ascii="Arial" w:hAnsi="Arial"/>
                <w:sz w:val="19"/>
              </w:rPr>
              <w:t>Content analysis</w:t>
            </w:r>
          </w:p>
        </w:tc>
        <w:tc>
          <w:tcPr>
            <w:tcW w:type="dxa" w:w="4320"/>
          </w:tcPr>
          <w:p>
            <w:pPr>
              <w:keepNext w:val="0"/>
              <w:spacing w:after="80" w:line="240" w:lineRule="auto"/>
            </w:pPr>
            <w:r>
              <w:rPr>
                <w:rFonts w:ascii="Arial" w:hAnsi="Arial"/>
                <w:sz w:val="19"/>
              </w:rPr>
              <w:t>Text now; public-link and premium image/OCR/context/deepfake planned.</w:t>
            </w:r>
          </w:p>
        </w:tc>
      </w:tr>
      <w:tr>
        <w:trPr>
          <w:cantSplit/>
        </w:trPr>
        <w:tc>
          <w:tcPr>
            <w:tcW w:type="dxa" w:w="4320"/>
          </w:tcPr>
          <w:p>
            <w:pPr>
              <w:keepNext w:val="0"/>
              <w:spacing w:after="80" w:line="240" w:lineRule="auto"/>
            </w:pPr>
            <w:r>
              <w:rPr>
                <w:rFonts w:ascii="Arial" w:hAnsi="Arial"/>
                <w:sz w:val="19"/>
              </w:rPr>
              <w:t>Results and evidence</w:t>
            </w:r>
          </w:p>
        </w:tc>
        <w:tc>
          <w:tcPr>
            <w:tcW w:type="dxa" w:w="4320"/>
          </w:tcPr>
          <w:p>
            <w:pPr>
              <w:keepNext w:val="0"/>
              <w:spacing w:after="80" w:line="240" w:lineRule="auto"/>
            </w:pPr>
            <w:r>
              <w:rPr>
                <w:rFonts w:ascii="Arial" w:hAnsi="Arial"/>
                <w:sz w:val="19"/>
              </w:rPr>
              <w:t>Owned history/detail, citations, uncertainty and native share now; deletion/public links/reports planned.</w:t>
            </w:r>
          </w:p>
        </w:tc>
      </w:tr>
      <w:tr>
        <w:trPr>
          <w:cantSplit/>
        </w:trPr>
        <w:tc>
          <w:tcPr>
            <w:tcW w:type="dxa" w:w="4320"/>
          </w:tcPr>
          <w:p>
            <w:pPr>
              <w:keepNext w:val="0"/>
              <w:spacing w:after="80" w:line="240" w:lineRule="auto"/>
            </w:pPr>
            <w:r>
              <w:rPr>
                <w:rFonts w:ascii="Arial" w:hAnsi="Arial"/>
                <w:sz w:val="19"/>
              </w:rPr>
              <w:t>Administration</w:t>
            </w:r>
          </w:p>
        </w:tc>
        <w:tc>
          <w:tcPr>
            <w:tcW w:type="dxa" w:w="4320"/>
          </w:tcPr>
          <w:p>
            <w:pPr>
              <w:keepNext w:val="0"/>
              <w:spacing w:after="80" w:line="240" w:lineRule="auto"/>
            </w:pPr>
            <w:r>
              <w:rPr>
                <w:rFonts w:ascii="Arial" w:hAnsi="Arial"/>
                <w:sz w:val="19"/>
              </w:rPr>
              <w:t>Planned authorised account queries, creation, suspension and feedback review.</w:t>
            </w:r>
          </w:p>
        </w:tc>
      </w:tr>
      <w:tr>
        <w:trPr>
          <w:cantSplit/>
        </w:trPr>
        <w:tc>
          <w:tcPr>
            <w:tcW w:type="dxa" w:w="4320"/>
          </w:tcPr>
          <w:p>
            <w:pPr>
              <w:keepNext w:val="0"/>
              <w:spacing w:after="80" w:line="240" w:lineRule="auto"/>
            </w:pPr>
            <w:r>
              <w:rPr>
                <w:rFonts w:ascii="Arial" w:hAnsi="Arial"/>
                <w:sz w:val="19"/>
              </w:rPr>
              <w:t>Data engineering</w:t>
            </w:r>
          </w:p>
        </w:tc>
        <w:tc>
          <w:tcPr>
            <w:tcW w:type="dxa" w:w="4320"/>
          </w:tcPr>
          <w:p>
            <w:pPr>
              <w:keepNext w:val="0"/>
              <w:spacing w:after="80" w:line="240" w:lineRule="auto"/>
            </w:pPr>
            <w:r>
              <w:rPr>
                <w:rFonts w:ascii="Arial" w:hAnsi="Arial"/>
                <w:sz w:val="19"/>
              </w:rPr>
              <w:t>Planned incorrect-result investigation and ingestion monitoring.</w:t>
            </w:r>
          </w:p>
        </w:tc>
      </w:tr>
    </w:tbl>
    <w:p>
      <w:pPr>
        <w:pStyle w:val="Heading2"/>
      </w:pPr>
      <w:r>
        <w:rPr>
          <w:rFonts w:ascii="Arial" w:hAnsi="Arial"/>
          <w:b/>
          <w:color w:val="000000"/>
          <w:sz w:val="24"/>
        </w:rPr>
        <w:t>6.5 Use of Tools</w:t>
      </w:r>
    </w:p>
    <w:p>
      <w:pPr>
        <w:jc w:val="both"/>
      </w:pPr>
      <w:r>
        <w:t>The project uses shared Word/PDF requirements and design documents, diagrams, GitHub version history, JSON handoff examples, automated backend tests and the Android emulator. These tools support traceability and review. No completed survey-tool deployment or automated requirements-management system is claimed.</w:t>
      </w:r>
    </w:p>
    <w:p>
      <w:pPr>
        <w:pStyle w:val="Heading2"/>
      </w:pPr>
      <w:r>
        <w:rPr>
          <w:rFonts w:ascii="Arial" w:hAnsi="Arial"/>
          <w:b/>
          <w:color w:val="000000"/>
          <w:sz w:val="24"/>
        </w:rPr>
        <w:t>6.6 Requirement-to-Evidence Traceability</w:t>
      </w:r>
    </w:p>
    <w:tbl>
      <w:tblPr>
        <w:tblStyle w:val="LightShading-Accent1"/>
        <w:tblW w:type="auto" w:w="0"/>
        <w:tblLook w:firstColumn="1" w:firstRow="1" w:lastColumn="0" w:lastRow="0" w:noHBand="0" w:noVBand="1" w:val="04A0"/>
      </w:tblPr>
      <w:tblGrid>
        <w:gridCol w:w="2160"/>
        <w:gridCol w:w="2160"/>
        <w:gridCol w:w="2160"/>
        <w:gridCol w:w="2160"/>
      </w:tblGrid>
      <w:tr>
        <w:trPr>
          <w:tblHeader/>
          <w:cantSplit/>
        </w:trPr>
        <w:tc>
          <w:tcPr>
            <w:tcW w:type="dxa" w:w="2160"/>
          </w:tcPr>
          <w:p>
            <w:pPr>
              <w:keepNext w:val="0"/>
              <w:spacing w:after="80" w:line="240" w:lineRule="auto"/>
            </w:pPr>
            <w:r>
              <w:rPr>
                <w:rFonts w:ascii="Arial" w:hAnsi="Arial"/>
                <w:b/>
                <w:sz w:val="19"/>
              </w:rPr>
              <w:t>Requirement</w:t>
            </w:r>
          </w:p>
        </w:tc>
        <w:tc>
          <w:tcPr>
            <w:tcW w:type="dxa" w:w="2160"/>
          </w:tcPr>
          <w:p>
            <w:pPr>
              <w:keepNext w:val="0"/>
              <w:spacing w:after="80" w:line="240" w:lineRule="auto"/>
            </w:pPr>
            <w:r>
              <w:rPr>
                <w:rFonts w:ascii="Arial" w:hAnsi="Arial"/>
                <w:b/>
                <w:sz w:val="19"/>
              </w:rPr>
              <w:t>Purpose</w:t>
            </w:r>
          </w:p>
        </w:tc>
        <w:tc>
          <w:tcPr>
            <w:tcW w:type="dxa" w:w="2160"/>
          </w:tcPr>
          <w:p>
            <w:pPr>
              <w:keepNext w:val="0"/>
              <w:spacing w:after="80" w:line="240" w:lineRule="auto"/>
            </w:pPr>
            <w:r>
              <w:rPr>
                <w:rFonts w:ascii="Arial" w:hAnsi="Arial"/>
                <w:b/>
                <w:sz w:val="19"/>
              </w:rPr>
              <w:t>Implementation / evidence</w:t>
            </w:r>
          </w:p>
        </w:tc>
        <w:tc>
          <w:tcPr>
            <w:tcW w:type="dxa" w:w="2160"/>
          </w:tcPr>
          <w:p>
            <w:pPr>
              <w:keepNext w:val="0"/>
              <w:spacing w:after="80" w:line="240" w:lineRule="auto"/>
            </w:pPr>
            <w:r>
              <w:rPr>
                <w:rFonts w:ascii="Arial" w:hAnsi="Arial"/>
                <w:b/>
                <w:sz w:val="19"/>
              </w:rPr>
              <w:t>Status / gap</w:t>
            </w:r>
          </w:p>
        </w:tc>
      </w:tr>
      <w:tr>
        <w:trPr>
          <w:cantSplit/>
        </w:trPr>
        <w:tc>
          <w:tcPr>
            <w:tcW w:type="dxa" w:w="2160"/>
          </w:tcPr>
          <w:p>
            <w:pPr>
              <w:keepNext w:val="0"/>
              <w:spacing w:after="80" w:line="240" w:lineRule="auto"/>
            </w:pPr>
            <w:r>
              <w:rPr>
                <w:rFonts w:ascii="Arial" w:hAnsi="Arial"/>
                <w:sz w:val="19"/>
              </w:rPr>
              <w:t>PF-B01; UC-01/02/04–06</w:t>
            </w:r>
          </w:p>
        </w:tc>
        <w:tc>
          <w:tcPr>
            <w:tcW w:type="dxa" w:w="2160"/>
          </w:tcPr>
          <w:p>
            <w:pPr>
              <w:keepNext w:val="0"/>
              <w:spacing w:after="80" w:line="240" w:lineRule="auto"/>
            </w:pPr>
            <w:r>
              <w:rPr>
                <w:rFonts w:ascii="Arial" w:hAnsi="Arial"/>
                <w:sz w:val="19"/>
              </w:rPr>
              <w:t>Individual account access/profile</w:t>
            </w:r>
          </w:p>
        </w:tc>
        <w:tc>
          <w:tcPr>
            <w:tcW w:type="dxa" w:w="2160"/>
          </w:tcPr>
          <w:p>
            <w:pPr>
              <w:keepNext w:val="0"/>
              <w:spacing w:after="80" w:line="240" w:lineRule="auto"/>
            </w:pPr>
            <w:r>
              <w:rPr>
                <w:rFonts w:ascii="Arial" w:hAnsi="Arial"/>
                <w:sz w:val="19"/>
              </w:rPr>
              <w:t>AuthScreen, VerifyEmailScreen, ProfileScreen; account/auth tests.</w:t>
            </w:r>
          </w:p>
        </w:tc>
        <w:tc>
          <w:tcPr>
            <w:tcW w:type="dxa" w:w="2160"/>
          </w:tcPr>
          <w:p>
            <w:pPr>
              <w:keepNext w:val="0"/>
              <w:spacing w:after="80" w:line="240" w:lineRule="auto"/>
            </w:pPr>
            <w:r>
              <w:rPr>
                <w:rFonts w:ascii="Arial" w:hAnsi="Arial"/>
                <w:sz w:val="19"/>
              </w:rPr>
              <w:t>Available subset; operational equivalents remain planned.</w:t>
            </w:r>
          </w:p>
        </w:tc>
      </w:tr>
      <w:tr>
        <w:trPr>
          <w:cantSplit/>
        </w:trPr>
        <w:tc>
          <w:tcPr>
            <w:tcW w:type="dxa" w:w="2160"/>
          </w:tcPr>
          <w:p>
            <w:pPr>
              <w:keepNext w:val="0"/>
              <w:spacing w:after="80" w:line="240" w:lineRule="auto"/>
            </w:pPr>
            <w:r>
              <w:rPr>
                <w:rFonts w:ascii="Arial" w:hAnsi="Arial"/>
                <w:sz w:val="19"/>
              </w:rPr>
              <w:t>PF-B02; UC-03/16/18</w:t>
            </w:r>
          </w:p>
        </w:tc>
        <w:tc>
          <w:tcPr>
            <w:tcW w:type="dxa" w:w="2160"/>
          </w:tcPr>
          <w:p>
            <w:pPr>
              <w:keepNext w:val="0"/>
              <w:spacing w:after="80" w:line="240" w:lineRule="auto"/>
            </w:pPr>
            <w:r>
              <w:rPr>
                <w:rFonts w:ascii="Arial" w:hAnsi="Arial"/>
                <w:sz w:val="19"/>
              </w:rPr>
              <w:t>Registration and account deletion</w:t>
            </w:r>
          </w:p>
        </w:tc>
        <w:tc>
          <w:tcPr>
            <w:tcW w:type="dxa" w:w="2160"/>
          </w:tcPr>
          <w:p>
            <w:pPr>
              <w:keepNext w:val="0"/>
              <w:spacing w:after="80" w:line="240" w:lineRule="auto"/>
            </w:pPr>
            <w:r>
              <w:rPr>
                <w:rFonts w:ascii="Arial" w:hAnsi="Arial"/>
                <w:sz w:val="19"/>
              </w:rPr>
              <w:t>Free registration/verification exists.</w:t>
            </w:r>
          </w:p>
        </w:tc>
        <w:tc>
          <w:tcPr>
            <w:tcW w:type="dxa" w:w="2160"/>
          </w:tcPr>
          <w:p>
            <w:pPr>
              <w:keepNext w:val="0"/>
              <w:spacing w:after="80" w:line="240" w:lineRule="auto"/>
            </w:pPr>
            <w:r>
              <w:rPr>
                <w:rFonts w:ascii="Arial" w:hAnsi="Arial"/>
                <w:sz w:val="19"/>
              </w:rPr>
              <w:t>Deletion and paid registration not implemented.</w:t>
            </w:r>
          </w:p>
        </w:tc>
      </w:tr>
      <w:tr>
        <w:trPr>
          <w:cantSplit/>
        </w:trPr>
        <w:tc>
          <w:tcPr>
            <w:tcW w:type="dxa" w:w="2160"/>
          </w:tcPr>
          <w:p>
            <w:pPr>
              <w:keepNext w:val="0"/>
              <w:spacing w:after="80" w:line="240" w:lineRule="auto"/>
            </w:pPr>
            <w:r>
              <w:rPr>
                <w:rFonts w:ascii="Arial" w:hAnsi="Arial"/>
                <w:sz w:val="19"/>
              </w:rPr>
              <w:t>PF-B03; UC-07</w:t>
            </w:r>
          </w:p>
        </w:tc>
        <w:tc>
          <w:tcPr>
            <w:tcW w:type="dxa" w:w="2160"/>
          </w:tcPr>
          <w:p>
            <w:pPr>
              <w:keepNext w:val="0"/>
              <w:spacing w:after="80" w:line="240" w:lineRule="auto"/>
            </w:pPr>
            <w:r>
              <w:rPr>
                <w:rFonts w:ascii="Arial" w:hAnsi="Arial"/>
                <w:sz w:val="19"/>
              </w:rPr>
              <w:t>English text analysis</w:t>
            </w:r>
          </w:p>
        </w:tc>
        <w:tc>
          <w:tcPr>
            <w:tcW w:type="dxa" w:w="2160"/>
          </w:tcPr>
          <w:p>
            <w:pPr>
              <w:keepNext w:val="0"/>
              <w:spacing w:after="80" w:line="240" w:lineRule="auto"/>
            </w:pPr>
            <w:r>
              <w:rPr>
                <w:rFonts w:ascii="Arial" w:hAnsi="Arial"/>
                <w:sz w:val="19"/>
              </w:rPr>
              <w:t>All text stages, POST /analysis/text, emulator flow.</w:t>
            </w:r>
          </w:p>
        </w:tc>
        <w:tc>
          <w:tcPr>
            <w:tcW w:type="dxa" w:w="2160"/>
          </w:tcPr>
          <w:p>
            <w:pPr>
              <w:keepNext w:val="0"/>
              <w:spacing w:after="80" w:line="240" w:lineRule="auto"/>
            </w:pPr>
            <w:r>
              <w:rPr>
                <w:rFonts w:ascii="Arial" w:hAnsi="Arial"/>
                <w:sz w:val="19"/>
              </w:rPr>
              <w:t>Operationally demonstrated; accuracy not established.</w:t>
            </w:r>
          </w:p>
        </w:tc>
      </w:tr>
      <w:tr>
        <w:trPr>
          <w:cantSplit/>
        </w:trPr>
        <w:tc>
          <w:tcPr>
            <w:tcW w:type="dxa" w:w="2160"/>
          </w:tcPr>
          <w:p>
            <w:pPr>
              <w:keepNext w:val="0"/>
              <w:spacing w:after="80" w:line="240" w:lineRule="auto"/>
            </w:pPr>
            <w:r>
              <w:rPr>
                <w:rFonts w:ascii="Arial" w:hAnsi="Arial"/>
                <w:sz w:val="19"/>
              </w:rPr>
              <w:t>PF-B04; UC-08</w:t>
            </w:r>
          </w:p>
        </w:tc>
        <w:tc>
          <w:tcPr>
            <w:tcW w:type="dxa" w:w="2160"/>
          </w:tcPr>
          <w:p>
            <w:pPr>
              <w:keepNext w:val="0"/>
              <w:spacing w:after="80" w:line="240" w:lineRule="auto"/>
            </w:pPr>
            <w:r>
              <w:rPr>
                <w:rFonts w:ascii="Arial" w:hAnsi="Arial"/>
                <w:sz w:val="19"/>
              </w:rPr>
              <w:t>Direct public-link analysis</w:t>
            </w:r>
          </w:p>
        </w:tc>
        <w:tc>
          <w:tcPr>
            <w:tcW w:type="dxa" w:w="2160"/>
          </w:tcPr>
          <w:p>
            <w:pPr>
              <w:keepNext w:val="0"/>
              <w:spacing w:after="80" w:line="240" w:lineRule="auto"/>
            </w:pPr>
            <w:r>
              <w:rPr>
                <w:rFonts w:ascii="Arial" w:hAnsi="Arial"/>
                <w:sz w:val="19"/>
              </w:rPr>
              <w:t>TDM link screen; copied-text alternative in app.</w:t>
            </w:r>
          </w:p>
        </w:tc>
        <w:tc>
          <w:tcPr>
            <w:tcW w:type="dxa" w:w="2160"/>
          </w:tcPr>
          <w:p>
            <w:pPr>
              <w:keepNext w:val="0"/>
              <w:spacing w:after="80" w:line="240" w:lineRule="auto"/>
            </w:pPr>
            <w:r>
              <w:rPr>
                <w:rFonts w:ascii="Arial" w:hAnsi="Arial"/>
                <w:sz w:val="19"/>
              </w:rPr>
              <w:t>Direct fetching/screening pending.</w:t>
            </w:r>
          </w:p>
        </w:tc>
      </w:tr>
      <w:tr>
        <w:trPr>
          <w:cantSplit/>
        </w:trPr>
        <w:tc>
          <w:tcPr>
            <w:tcW w:type="dxa" w:w="2160"/>
          </w:tcPr>
          <w:p>
            <w:pPr>
              <w:keepNext w:val="0"/>
              <w:spacing w:after="80" w:line="240" w:lineRule="auto"/>
            </w:pPr>
            <w:r>
              <w:rPr>
                <w:rFonts w:ascii="Arial" w:hAnsi="Arial"/>
                <w:sz w:val="19"/>
              </w:rPr>
              <w:t>PF-B05; UC-09–11/13</w:t>
            </w:r>
          </w:p>
        </w:tc>
        <w:tc>
          <w:tcPr>
            <w:tcW w:type="dxa" w:w="2160"/>
          </w:tcPr>
          <w:p>
            <w:pPr>
              <w:keepNext w:val="0"/>
              <w:spacing w:after="80" w:line="240" w:lineRule="auto"/>
            </w:pPr>
            <w:r>
              <w:rPr>
                <w:rFonts w:ascii="Arial" w:hAnsi="Arial"/>
                <w:sz w:val="19"/>
              </w:rPr>
              <w:t>History, details, allowance and reports</w:t>
            </w:r>
          </w:p>
        </w:tc>
        <w:tc>
          <w:tcPr>
            <w:tcW w:type="dxa" w:w="2160"/>
          </w:tcPr>
          <w:p>
            <w:pPr>
              <w:keepNext w:val="0"/>
              <w:spacing w:after="80" w:line="240" w:lineRule="auto"/>
            </w:pPr>
            <w:r>
              <w:rPr>
                <w:rFonts w:ascii="Arial" w:hAnsi="Arial"/>
                <w:sz w:val="19"/>
              </w:rPr>
              <w:t>Owned GET routes, quota tests, live Firestore.</w:t>
            </w:r>
          </w:p>
        </w:tc>
        <w:tc>
          <w:tcPr>
            <w:tcW w:type="dxa" w:w="2160"/>
          </w:tcPr>
          <w:p>
            <w:pPr>
              <w:keepNext w:val="0"/>
              <w:spacing w:after="80" w:line="240" w:lineRule="auto"/>
            </w:pPr>
            <w:r>
              <w:rPr>
                <w:rFonts w:ascii="Arial" w:hAnsi="Arial"/>
                <w:sz w:val="19"/>
              </w:rPr>
              <w:t>History/detail/allowance available; reporting pending.</w:t>
            </w:r>
          </w:p>
        </w:tc>
      </w:tr>
      <w:tr>
        <w:trPr>
          <w:cantSplit/>
        </w:trPr>
        <w:tc>
          <w:tcPr>
            <w:tcW w:type="dxa" w:w="2160"/>
          </w:tcPr>
          <w:p>
            <w:pPr>
              <w:keepNext w:val="0"/>
              <w:spacing w:after="80" w:line="240" w:lineRule="auto"/>
            </w:pPr>
            <w:r>
              <w:rPr>
                <w:rFonts w:ascii="Arial" w:hAnsi="Arial"/>
                <w:sz w:val="19"/>
              </w:rPr>
              <w:t>PF-B06/07; UC-17/19/20</w:t>
            </w:r>
          </w:p>
        </w:tc>
        <w:tc>
          <w:tcPr>
            <w:tcW w:type="dxa" w:w="2160"/>
          </w:tcPr>
          <w:p>
            <w:pPr>
              <w:keepNext w:val="0"/>
              <w:spacing w:after="80" w:line="240" w:lineRule="auto"/>
            </w:pPr>
            <w:r>
              <w:rPr>
                <w:rFonts w:ascii="Arial" w:hAnsi="Arial"/>
                <w:sz w:val="19"/>
              </w:rPr>
              <w:t>Paid upgrade, renewal, cancellation</w:t>
            </w:r>
          </w:p>
        </w:tc>
        <w:tc>
          <w:tcPr>
            <w:tcW w:type="dxa" w:w="2160"/>
          </w:tcPr>
          <w:p>
            <w:pPr>
              <w:keepNext w:val="0"/>
              <w:spacing w:after="80" w:line="240" w:lineRule="auto"/>
            </w:pPr>
            <w:r>
              <w:rPr>
                <w:rFonts w:ascii="Arial" w:hAnsi="Arial"/>
                <w:sz w:val="19"/>
              </w:rPr>
              <w:t>TDM designs and Premium server role.</w:t>
            </w:r>
          </w:p>
        </w:tc>
        <w:tc>
          <w:tcPr>
            <w:tcW w:type="dxa" w:w="2160"/>
          </w:tcPr>
          <w:p>
            <w:pPr>
              <w:keepNext w:val="0"/>
              <w:spacing w:after="80" w:line="240" w:lineRule="auto"/>
            </w:pPr>
            <w:r>
              <w:rPr>
                <w:rFonts w:ascii="Arial" w:hAnsi="Arial"/>
                <w:sz w:val="19"/>
              </w:rPr>
              <w:t>Payment subscription flow pending.</w:t>
            </w:r>
          </w:p>
        </w:tc>
      </w:tr>
      <w:tr>
        <w:trPr>
          <w:cantSplit/>
        </w:trPr>
        <w:tc>
          <w:tcPr>
            <w:tcW w:type="dxa" w:w="2160"/>
          </w:tcPr>
          <w:p>
            <w:pPr>
              <w:keepNext w:val="0"/>
              <w:spacing w:after="80" w:line="240" w:lineRule="auto"/>
            </w:pPr>
            <w:r>
              <w:rPr>
                <w:rFonts w:ascii="Arial" w:hAnsi="Arial"/>
                <w:sz w:val="19"/>
              </w:rPr>
              <w:t>PF-B08/09; UC-21/23</w:t>
            </w:r>
          </w:p>
        </w:tc>
        <w:tc>
          <w:tcPr>
            <w:tcW w:type="dxa" w:w="2160"/>
          </w:tcPr>
          <w:p>
            <w:pPr>
              <w:keepNext w:val="0"/>
              <w:spacing w:after="80" w:line="240" w:lineRule="auto"/>
            </w:pPr>
            <w:r>
              <w:rPr>
                <w:rFonts w:ascii="Arial" w:hAnsi="Arial"/>
                <w:sz w:val="19"/>
              </w:rPr>
              <w:t>Image+caption and OCR</w:t>
            </w:r>
          </w:p>
        </w:tc>
        <w:tc>
          <w:tcPr>
            <w:tcW w:type="dxa" w:w="2160"/>
          </w:tcPr>
          <w:p>
            <w:pPr>
              <w:keepNext w:val="0"/>
              <w:spacing w:after="80" w:line="240" w:lineRule="auto"/>
            </w:pPr>
            <w:r>
              <w:rPr>
                <w:rFonts w:ascii="Arial" w:hAnsi="Arial"/>
                <w:sz w:val="19"/>
              </w:rPr>
              <w:t>TDM designs and shared intended results.</w:t>
            </w:r>
          </w:p>
        </w:tc>
        <w:tc>
          <w:tcPr>
            <w:tcW w:type="dxa" w:w="2160"/>
          </w:tcPr>
          <w:p>
            <w:pPr>
              <w:keepNext w:val="0"/>
              <w:spacing w:after="80" w:line="240" w:lineRule="auto"/>
            </w:pPr>
            <w:r>
              <w:rPr>
                <w:rFonts w:ascii="Arial" w:hAnsi="Arial"/>
                <w:sz w:val="19"/>
              </w:rPr>
              <w:t>Pipelines/format limits/evaluation pending.</w:t>
            </w:r>
          </w:p>
        </w:tc>
      </w:tr>
      <w:tr>
        <w:trPr>
          <w:cantSplit/>
        </w:trPr>
        <w:tc>
          <w:tcPr>
            <w:tcW w:type="dxa" w:w="2160"/>
          </w:tcPr>
          <w:p>
            <w:pPr>
              <w:keepNext w:val="0"/>
              <w:spacing w:after="80" w:line="240" w:lineRule="auto"/>
            </w:pPr>
            <w:r>
              <w:rPr>
                <w:rFonts w:ascii="Arial" w:hAnsi="Arial"/>
                <w:sz w:val="19"/>
              </w:rPr>
              <w:t>PF-B10/11; UC-22/24</w:t>
            </w:r>
          </w:p>
        </w:tc>
        <w:tc>
          <w:tcPr>
            <w:tcW w:type="dxa" w:w="2160"/>
          </w:tcPr>
          <w:p>
            <w:pPr>
              <w:keepNext w:val="0"/>
              <w:spacing w:after="80" w:line="240" w:lineRule="auto"/>
            </w:pPr>
            <w:r>
              <w:rPr>
                <w:rFonts w:ascii="Arial" w:hAnsi="Arial"/>
                <w:sz w:val="19"/>
              </w:rPr>
              <w:t>Context and deepfake/AI image</w:t>
            </w:r>
          </w:p>
        </w:tc>
        <w:tc>
          <w:tcPr>
            <w:tcW w:type="dxa" w:w="2160"/>
          </w:tcPr>
          <w:p>
            <w:pPr>
              <w:keepNext w:val="0"/>
              <w:spacing w:after="80" w:line="240" w:lineRule="auto"/>
            </w:pPr>
            <w:r>
              <w:rPr>
                <w:rFonts w:ascii="Arial" w:hAnsi="Arial"/>
                <w:sz w:val="19"/>
              </w:rPr>
              <w:t>Required static-image scope in URS/TDM.</w:t>
            </w:r>
          </w:p>
        </w:tc>
        <w:tc>
          <w:tcPr>
            <w:tcW w:type="dxa" w:w="2160"/>
          </w:tcPr>
          <w:p>
            <w:pPr>
              <w:keepNext w:val="0"/>
              <w:spacing w:after="80" w:line="240" w:lineRule="auto"/>
            </w:pPr>
            <w:r>
              <w:rPr>
                <w:rFonts w:ascii="Arial" w:hAnsi="Arial"/>
                <w:sz w:val="19"/>
              </w:rPr>
              <w:t>Detector and context pipeline pending.</w:t>
            </w:r>
          </w:p>
        </w:tc>
      </w:tr>
      <w:tr>
        <w:trPr>
          <w:cantSplit/>
        </w:trPr>
        <w:tc>
          <w:tcPr>
            <w:tcW w:type="dxa" w:w="2160"/>
          </w:tcPr>
          <w:p>
            <w:pPr>
              <w:keepNext w:val="0"/>
              <w:spacing w:after="80" w:line="240" w:lineRule="auto"/>
            </w:pPr>
            <w:r>
              <w:rPr>
                <w:rFonts w:ascii="Arial" w:hAnsi="Arial"/>
                <w:sz w:val="19"/>
              </w:rPr>
              <w:t>PF-B12–14; UC-30–34</w:t>
            </w:r>
          </w:p>
        </w:tc>
        <w:tc>
          <w:tcPr>
            <w:tcW w:type="dxa" w:w="2160"/>
          </w:tcPr>
          <w:p>
            <w:pPr>
              <w:keepNext w:val="0"/>
              <w:spacing w:after="80" w:line="240" w:lineRule="auto"/>
            </w:pPr>
            <w:r>
              <w:rPr>
                <w:rFonts w:ascii="Arial" w:hAnsi="Arial"/>
                <w:sz w:val="19"/>
              </w:rPr>
              <w:t>Operational account management</w:t>
            </w:r>
          </w:p>
        </w:tc>
        <w:tc>
          <w:tcPr>
            <w:tcW w:type="dxa" w:w="2160"/>
          </w:tcPr>
          <w:p>
            <w:pPr>
              <w:keepNext w:val="0"/>
              <w:spacing w:after="80" w:line="240" w:lineRule="auto"/>
            </w:pPr>
            <w:r>
              <w:rPr>
                <w:rFonts w:ascii="Arial" w:hAnsi="Arial"/>
                <w:sz w:val="19"/>
              </w:rPr>
              <w:t>URS cases and TDM portal designs.</w:t>
            </w:r>
          </w:p>
        </w:tc>
        <w:tc>
          <w:tcPr>
            <w:tcW w:type="dxa" w:w="2160"/>
          </w:tcPr>
          <w:p>
            <w:pPr>
              <w:keepNext w:val="0"/>
              <w:spacing w:after="80" w:line="240" w:lineRule="auto"/>
            </w:pPr>
            <w:r>
              <w:rPr>
                <w:rFonts w:ascii="Arial" w:hAnsi="Arial"/>
                <w:sz w:val="19"/>
              </w:rPr>
              <w:t>Role-restricted portal pending.</w:t>
            </w:r>
          </w:p>
        </w:tc>
      </w:tr>
      <w:tr>
        <w:trPr>
          <w:cantSplit/>
        </w:trPr>
        <w:tc>
          <w:tcPr>
            <w:tcW w:type="dxa" w:w="2160"/>
          </w:tcPr>
          <w:p>
            <w:pPr>
              <w:keepNext w:val="0"/>
              <w:spacing w:after="80" w:line="240" w:lineRule="auto"/>
            </w:pPr>
            <w:r>
              <w:rPr>
                <w:rFonts w:ascii="Arial" w:hAnsi="Arial"/>
                <w:sz w:val="19"/>
              </w:rPr>
              <w:t>PF-B15/16; UC-41–43</w:t>
            </w:r>
          </w:p>
        </w:tc>
        <w:tc>
          <w:tcPr>
            <w:tcW w:type="dxa" w:w="2160"/>
          </w:tcPr>
          <w:p>
            <w:pPr>
              <w:keepNext w:val="0"/>
              <w:spacing w:after="80" w:line="240" w:lineRule="auto"/>
            </w:pPr>
            <w:r>
              <w:rPr>
                <w:rFonts w:ascii="Arial" w:hAnsi="Arial"/>
                <w:sz w:val="19"/>
              </w:rPr>
              <w:t>Reports and ingestion monitoring</w:t>
            </w:r>
          </w:p>
        </w:tc>
        <w:tc>
          <w:tcPr>
            <w:tcW w:type="dxa" w:w="2160"/>
          </w:tcPr>
          <w:p>
            <w:pPr>
              <w:keepNext w:val="0"/>
              <w:spacing w:after="80" w:line="240" w:lineRule="auto"/>
            </w:pPr>
            <w:r>
              <w:rPr>
                <w:rFonts w:ascii="Arial" w:hAnsi="Arial"/>
                <w:sz w:val="19"/>
              </w:rPr>
              <w:t>URS cases and TDM portal designs.</w:t>
            </w:r>
          </w:p>
        </w:tc>
        <w:tc>
          <w:tcPr>
            <w:tcW w:type="dxa" w:w="2160"/>
          </w:tcPr>
          <w:p>
            <w:pPr>
              <w:keepNext w:val="0"/>
              <w:spacing w:after="80" w:line="240" w:lineRule="auto"/>
            </w:pPr>
            <w:r>
              <w:rPr>
                <w:rFonts w:ascii="Arial" w:hAnsi="Arial"/>
                <w:sz w:val="19"/>
              </w:rPr>
              <w:t>Dashboard, investigation and ingestion workflows pending.</w:t>
            </w:r>
          </w:p>
        </w:tc>
      </w:tr>
      <w:tr>
        <w:trPr>
          <w:cantSplit/>
        </w:trPr>
        <w:tc>
          <w:tcPr>
            <w:tcW w:type="dxa" w:w="2160"/>
          </w:tcPr>
          <w:p>
            <w:pPr>
              <w:keepNext w:val="0"/>
              <w:spacing w:after="80" w:line="240" w:lineRule="auto"/>
            </w:pPr>
            <w:r>
              <w:rPr>
                <w:rFonts w:ascii="Arial" w:hAnsi="Arial"/>
                <w:sz w:val="19"/>
              </w:rPr>
              <w:t>PF-A01/02/04; UC-12/14/35</w:t>
            </w:r>
          </w:p>
        </w:tc>
        <w:tc>
          <w:tcPr>
            <w:tcW w:type="dxa" w:w="2160"/>
          </w:tcPr>
          <w:p>
            <w:pPr>
              <w:keepNext w:val="0"/>
              <w:spacing w:after="80" w:line="240" w:lineRule="auto"/>
            </w:pPr>
            <w:r>
              <w:rPr>
                <w:rFonts w:ascii="Arial" w:hAnsi="Arial"/>
                <w:sz w:val="19"/>
              </w:rPr>
              <w:t>Delete history and review feedback</w:t>
            </w:r>
          </w:p>
        </w:tc>
        <w:tc>
          <w:tcPr>
            <w:tcW w:type="dxa" w:w="2160"/>
          </w:tcPr>
          <w:p>
            <w:pPr>
              <w:keepNext w:val="0"/>
              <w:spacing w:after="80" w:line="240" w:lineRule="auto"/>
            </w:pPr>
            <w:r>
              <w:rPr>
                <w:rFonts w:ascii="Arial" w:hAnsi="Arial"/>
                <w:sz w:val="19"/>
              </w:rPr>
              <w:t>URS additional requirements.</w:t>
            </w:r>
          </w:p>
        </w:tc>
        <w:tc>
          <w:tcPr>
            <w:tcW w:type="dxa" w:w="2160"/>
          </w:tcPr>
          <w:p>
            <w:pPr>
              <w:keepNext w:val="0"/>
              <w:spacing w:after="80" w:line="240" w:lineRule="auto"/>
            </w:pPr>
            <w:r>
              <w:rPr>
                <w:rFonts w:ascii="Arial" w:hAnsi="Arial"/>
                <w:sz w:val="19"/>
              </w:rPr>
              <w:t>Not implemented.</w:t>
            </w:r>
          </w:p>
        </w:tc>
      </w:tr>
      <w:tr>
        <w:trPr>
          <w:cantSplit/>
        </w:trPr>
        <w:tc>
          <w:tcPr>
            <w:tcW w:type="dxa" w:w="2160"/>
          </w:tcPr>
          <w:p>
            <w:pPr>
              <w:keepNext w:val="0"/>
              <w:spacing w:after="80" w:line="240" w:lineRule="auto"/>
            </w:pPr>
            <w:r>
              <w:rPr>
                <w:rFonts w:ascii="Arial" w:hAnsi="Arial"/>
                <w:sz w:val="19"/>
              </w:rPr>
              <w:t>PF-A03; UC-15</w:t>
            </w:r>
          </w:p>
        </w:tc>
        <w:tc>
          <w:tcPr>
            <w:tcW w:type="dxa" w:w="2160"/>
          </w:tcPr>
          <w:p>
            <w:pPr>
              <w:keepNext w:val="0"/>
              <w:spacing w:after="80" w:line="240" w:lineRule="auto"/>
            </w:pPr>
            <w:r>
              <w:rPr>
                <w:rFonts w:ascii="Arial" w:hAnsi="Arial"/>
                <w:sz w:val="19"/>
              </w:rPr>
              <w:t>Public shareable result link</w:t>
            </w:r>
          </w:p>
        </w:tc>
        <w:tc>
          <w:tcPr>
            <w:tcW w:type="dxa" w:w="2160"/>
          </w:tcPr>
          <w:p>
            <w:pPr>
              <w:keepNext w:val="0"/>
              <w:spacing w:after="80" w:line="240" w:lineRule="auto"/>
            </w:pPr>
            <w:r>
              <w:rPr>
                <w:rFonts w:ascii="Arial" w:hAnsi="Arial"/>
                <w:sz w:val="19"/>
              </w:rPr>
              <w:t>Native summary/citation sharing exists.</w:t>
            </w:r>
          </w:p>
        </w:tc>
        <w:tc>
          <w:tcPr>
            <w:tcW w:type="dxa" w:w="2160"/>
          </w:tcPr>
          <w:p>
            <w:pPr>
              <w:keepNext w:val="0"/>
              <w:spacing w:after="80" w:line="240" w:lineRule="auto"/>
            </w:pPr>
            <w:r>
              <w:rPr>
                <w:rFonts w:ascii="Arial" w:hAnsi="Arial"/>
                <w:sz w:val="19"/>
              </w:rPr>
              <w:t>Public result-page links pending.</w:t>
            </w:r>
          </w:p>
        </w:tc>
      </w:tr>
      <w:tr>
        <w:trPr>
          <w:cantSplit/>
        </w:trPr>
        <w:tc>
          <w:tcPr>
            <w:tcW w:type="dxa" w:w="2160"/>
          </w:tcPr>
          <w:p>
            <w:pPr>
              <w:keepNext w:val="0"/>
              <w:spacing w:after="80" w:line="240" w:lineRule="auto"/>
            </w:pPr>
            <w:r>
              <w:rPr>
                <w:rFonts w:ascii="Arial" w:hAnsi="Arial"/>
                <w:sz w:val="19"/>
              </w:rPr>
              <w:t>URS 4.1–4.4</w:t>
            </w:r>
          </w:p>
        </w:tc>
        <w:tc>
          <w:tcPr>
            <w:tcW w:type="dxa" w:w="2160"/>
          </w:tcPr>
          <w:p>
            <w:pPr>
              <w:keepNext w:val="0"/>
              <w:spacing w:after="80" w:line="240" w:lineRule="auto"/>
            </w:pPr>
            <w:r>
              <w:rPr>
                <w:rFonts w:ascii="Arial" w:hAnsi="Arial"/>
                <w:sz w:val="19"/>
              </w:rPr>
              <w:t>Capacity, UI speed, storage and result-time targets</w:t>
            </w:r>
          </w:p>
        </w:tc>
        <w:tc>
          <w:tcPr>
            <w:tcW w:type="dxa" w:w="2160"/>
          </w:tcPr>
          <w:p>
            <w:pPr>
              <w:keepNext w:val="0"/>
              <w:spacing w:after="80" w:line="240" w:lineRule="auto"/>
            </w:pPr>
            <w:r>
              <w:rPr>
                <w:rFonts w:ascii="Arial" w:hAnsi="Arial"/>
                <w:sz w:val="19"/>
              </w:rPr>
              <w:t>Selected live timings and bundle success.</w:t>
            </w:r>
          </w:p>
        </w:tc>
        <w:tc>
          <w:tcPr>
            <w:tcW w:type="dxa" w:w="2160"/>
          </w:tcPr>
          <w:p>
            <w:pPr>
              <w:keepNext w:val="0"/>
              <w:spacing w:after="80" w:line="240" w:lineRule="auto"/>
            </w:pPr>
            <w:r>
              <w:rPr>
                <w:rFonts w:ascii="Arial" w:hAnsi="Arial"/>
                <w:sz w:val="19"/>
              </w:rPr>
              <w:t>No load/physical-device/storage-warning certification.</w:t>
            </w:r>
          </w:p>
        </w:tc>
      </w:tr>
      <w:tr>
        <w:trPr>
          <w:cantSplit/>
        </w:trPr>
        <w:tc>
          <w:tcPr>
            <w:tcW w:type="dxa" w:w="2160"/>
          </w:tcPr>
          <w:p>
            <w:pPr>
              <w:keepNext w:val="0"/>
              <w:spacing w:after="80" w:line="240" w:lineRule="auto"/>
            </w:pPr>
            <w:r>
              <w:rPr>
                <w:rFonts w:ascii="Arial" w:hAnsi="Arial"/>
                <w:sz w:val="19"/>
              </w:rPr>
              <w:t>URS 4.5 / 2.5</w:t>
            </w:r>
          </w:p>
        </w:tc>
        <w:tc>
          <w:tcPr>
            <w:tcW w:type="dxa" w:w="2160"/>
          </w:tcPr>
          <w:p>
            <w:pPr>
              <w:keepNext w:val="0"/>
              <w:spacing w:after="80" w:line="240" w:lineRule="auto"/>
            </w:pPr>
            <w:r>
              <w:rPr>
                <w:rFonts w:ascii="Arial" w:hAnsi="Arial"/>
                <w:sz w:val="19"/>
              </w:rPr>
              <w:t>Access, privacy and security</w:t>
            </w:r>
          </w:p>
        </w:tc>
        <w:tc>
          <w:tcPr>
            <w:tcW w:type="dxa" w:w="2160"/>
          </w:tcPr>
          <w:p>
            <w:pPr>
              <w:keepNext w:val="0"/>
              <w:spacing w:after="80" w:line="240" w:lineRule="auto"/>
            </w:pPr>
            <w:r>
              <w:rPr>
                <w:rFonts w:ascii="Arial" w:hAnsi="Arial"/>
                <w:sz w:val="19"/>
              </w:rPr>
              <w:t>Focused auth/ownership/idempotency tests.</w:t>
            </w:r>
          </w:p>
        </w:tc>
        <w:tc>
          <w:tcPr>
            <w:tcW w:type="dxa" w:w="2160"/>
          </w:tcPr>
          <w:p>
            <w:pPr>
              <w:keepNext w:val="0"/>
              <w:spacing w:after="80" w:line="240" w:lineRule="auto"/>
            </w:pPr>
            <w:r>
              <w:rPr>
                <w:rFonts w:ascii="Arial" w:hAnsi="Arial"/>
                <w:sz w:val="19"/>
              </w:rPr>
              <w:t>Inactivity expiry, broader security and compliance review pending.</w:t>
            </w:r>
          </w:p>
        </w:tc>
      </w:tr>
    </w:tbl>
    <w:p>
      <w:pPr>
        <w:pStyle w:val="Heading2"/>
      </w:pPr>
      <w:r>
        <w:rPr>
          <w:rFonts w:ascii="Arial" w:hAnsi="Arial"/>
          <w:b/>
          <w:color w:val="000000"/>
          <w:sz w:val="24"/>
        </w:rPr>
        <w:t>6.7 Acceptance and Change Control</w:t>
      </w:r>
    </w:p>
    <w:p>
      <w:pPr>
        <w:pageBreakBefore w:val="0"/>
        <w:jc w:val="both"/>
      </w:pPr>
      <w:r>
        <w:t>A feature is operationally complete only when its intended user flow, authorization, data persistence and failure behavior are demonstrated. Quality claims require their own evaluation. The 262-test record cannot substitute for labelled fact-check accuracy or older-user usability. Acceptance thresholds and final sign-off remain to be agreed and documented.</w:t>
      </w:r>
    </w:p>
    <w:p>
      <w:pPr>
        <w:pageBreakBefore w:val="0"/>
        <w:jc w:val="both"/>
      </w:pPr>
      <w:r>
        <w:t>Source: URS Sections 2.2, 3 and 4; PTD Chapters 13–15 contain the user stories and use cases; Section 19.1 contains verification records.</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