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pPr>
      <w:r>
        <w:rPr>
          <w:rFonts w:ascii="Arial" w:hAnsi="Arial"/>
          <w:b/>
          <w:color w:val="000000"/>
          <w:sz w:val="30"/>
        </w:rPr>
        <w:t>9. Other Requirements</w:t>
      </w:r>
    </w:p>
    <w:p>
      <w:pPr>
        <w:pStyle w:val="Heading2"/>
      </w:pPr>
      <w:r>
        <w:rPr>
          <w:rFonts w:ascii="Arial" w:hAnsi="Arial"/>
          <w:b/>
          <w:color w:val="000000"/>
          <w:sz w:val="24"/>
        </w:rPr>
        <w:t>9.1 User Requirements</w:t>
      </w:r>
    </w:p>
    <w:p>
      <w:pPr>
        <w:jc w:val="both"/>
      </w:pPr>
      <w:r>
        <w:t>Individual users need an Android device and an internet connection to access the cloud-assisted text workflow. The prototype supports English. Users should be able to inspect the extracted claim, explanation, uncertainty and citations before deciding whether to share content. Not Enough Information must not be presented as proof that a claim is false.</w:t>
      </w:r>
    </w:p>
    <w:p>
      <w:pPr>
        <w:jc w:val="both"/>
      </w:pPr>
      <w:r>
        <w:t>The final product must explain the distinction between factual assessment and image-authenticity likelihood. A supported static-image detector is required; audio and video inputs are outside the agreed scope. User instructions, supported input limits and unavailable functions must remain consistent with the PUM.</w:t>
      </w:r>
    </w:p>
    <w:p>
      <w:pPr>
        <w:pStyle w:val="Heading2"/>
      </w:pPr>
      <w:r>
        <w:rPr>
          <w:rFonts w:ascii="Arial" w:hAnsi="Arial"/>
          <w:b/>
          <w:color w:val="000000"/>
          <w:sz w:val="24"/>
        </w:rPr>
        <w:t>9.2 Legal and Regulatory Requirements</w:t>
      </w:r>
    </w:p>
    <w:p>
      <w:pPr>
        <w:jc w:val="both"/>
      </w:pPr>
      <w:r>
        <w:t>The project still needs a reviewed privacy notice, terms of use, retention and deletion rules, and a documented review of external provider processing and source-reuse conditions. These are unresolved project deliverables; this report does not assert legal approval or compliance certification. Public availability of evidence does not itself grant unrestricted reuse rights.</w:t>
      </w:r>
    </w:p>
    <w:p>
      <w:pPr>
        <w:jc w:val="both"/>
      </w:pPr>
      <w:r>
        <w:t>Only content that users are permitted to submit should be processed. Evaluation and demonstrations should use appropriate source permissions and non-sensitive examples. Any participant study requires its consent and data-handling arrangements to be recorded before results are presented as research evidence.</w:t>
      </w:r>
    </w:p>
    <w:p>
      <w:pPr>
        <w:pStyle w:val="Heading2"/>
      </w:pPr>
      <w:r>
        <w:rPr>
          <w:rFonts w:ascii="Arial" w:hAnsi="Arial"/>
          <w:b/>
          <w:color w:val="000000"/>
          <w:sz w:val="24"/>
        </w:rPr>
        <w:t>9.3 System and Operation Requirements</w:t>
      </w:r>
    </w:p>
    <w:p>
      <w:pPr>
        <w:jc w:val="both"/>
      </w:pPr>
      <w:r>
        <w:t>The system depends on Firebase Authentication and Firestore, an available backend, and configured AI/search providers. Provider failures must produce controlled errors or clearly qualified partial evidence. They must not be disguised as a confident result or a successful empty search. Credentials belong in private backend configuration, outside version control and the Android bundle.</w:t>
      </w:r>
    </w:p>
    <w:p>
      <w:pPr>
        <w:jc w:val="both"/>
      </w:pPr>
      <w:r>
        <w:t>Production HTTPS, environment separation, monitoring, backup/recovery, operational portals, source-ingestion scheduling and release packaging remain to be completed or verified. The current local demonstration is not evidence of a production deployment.</w:t>
      </w:r>
    </w:p>
    <w:p>
      <w:pPr>
        <w:jc w:val="both"/>
      </w:pPr>
      <w:r>
        <w:rPr>
          <w:i/>
          <w:sz w:val="18"/>
        </w:rPr>
        <w:t>Source: URS operating context and constraints; existing PTD data lifecycle, risk and deployment records.</w:t>
      </w:r>
    </w:p>
    <w:sectPr w:rsidR="00FC693F" w:rsidRPr="0006063C" w:rsidSect="00034616">
      <w:headerReference w:type="default" r:id="rId9"/>
      <w:footerReference w:type="default" r:id="rId10"/>
      <w:pgSz w:w="11906" w:h="16838"/>
      <w:pgMar w:top="1134" w:right="1191" w:bottom="1134"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sz w:val="16"/>
      </w:rPr>
      <w:t>FYP-26-S3-30  |  uiabo  |  Preliminary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UIABO Preliminary Technical Documentation</dc:title>
  <dc:subject>FYP-26-S3-30 — sample-aligned report structure</dc:subject>
  <dc:creator>FYP-26-S3-30 project team</dc:creator>
  <cp:keywords/>
  <dc:description>Version 0.3, 8 September 2026. Word-only structural revision.</dc:description>
  <cp:lastModifiedBy/>
  <cp:revision>1</cp:revision>
  <dcterms:created xsi:type="dcterms:W3CDTF">2013-12-23T23:15:00Z</dcterms:created>
  <dcterms:modified xsi:type="dcterms:W3CDTF">2013-12-23T23:15:00Z</dcterms:modified>
  <cp:category/>
</cp:coreProperties>
</file>