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pageBreakBefore/>
      </w:pPr>
      <w:r>
        <w:rPr>
          <w:rFonts w:ascii="Arial" w:hAnsi="Arial"/>
          <w:b/>
          <w:color w:val="000000"/>
          <w:sz w:val="30"/>
        </w:rPr>
        <w:t>17. Conclusion</w:t>
      </w:r>
    </w:p>
    <w:p>
      <w:pPr>
        <w:pageBreakBefore w:val="0"/>
        <w:jc w:val="both"/>
      </w:pPr>
      <w:r>
        <w:t>UIABO has progressed from a mock API and disconnected components to a working authenticated text-check journey in an Android emulator. Claim analysis, evidence retrieval, baseline assessment, cited results, owned Firestore history and server-enforced free/premium allowances are connected. Dated tests support those operational claims.</w:t>
      </w:r>
    </w:p>
    <w:p>
      <w:pPr>
        <w:pageBreakBefore w:val="0"/>
        <w:jc w:val="both"/>
      </w:pPr>
      <w:r>
        <w:t>The most important remaining quality gap is evidence interpretation: the current lexical stance component can misread myth quotations and unrelated negation. Required static-image/deepfake work, direct links, payments and operational portals remain unfinished. Documentation now describes these as planned, and it does not equate integration with validated factual accuracy.</w:t>
      </w:r>
    </w:p>
    <w:p>
      <w:pPr>
        <w:pStyle w:val="Heading2"/>
      </w:pPr>
      <w:r>
        <w:rPr>
          <w:rFonts w:ascii="Arial" w:hAnsi="Arial"/>
          <w:b/>
          <w:color w:val="000000"/>
          <w:sz w:val="24"/>
        </w:rPr>
        <w:t>17.1 Remaining Deliverables and Acceptance Evidence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/>
          <w:cantSplit/>
        </w:trPr>
        <w:tc>
          <w:tcPr>
            <w:tcW w:type="dxa" w:w="4320"/>
          </w:tcPr>
          <w:p>
            <w:pPr>
              <w:keepNext w:val="0"/>
              <w:spacing w:after="80" w:line="240" w:lineRule="auto"/>
            </w:pPr>
            <w:r>
              <w:rPr>
                <w:rFonts w:ascii="Arial" w:hAnsi="Arial"/>
                <w:b/>
                <w:sz w:val="19"/>
              </w:rPr>
              <w:t>Item</w:t>
            </w:r>
          </w:p>
        </w:tc>
        <w:tc>
          <w:tcPr>
            <w:tcW w:type="dxa" w:w="4320"/>
          </w:tcPr>
          <w:p>
            <w:pPr>
              <w:keepNext w:val="0"/>
              <w:spacing w:after="80" w:line="240" w:lineRule="auto"/>
            </w:pPr>
            <w:r>
              <w:rPr>
                <w:rFonts w:ascii="Arial" w:hAnsi="Arial"/>
                <w:b/>
                <w:sz w:val="19"/>
              </w:rPr>
              <w:t>Required next evidence / decision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keepNext w:val="0"/>
              <w:spacing w:after="80" w:line="240" w:lineRule="auto"/>
            </w:pPr>
            <w:r>
              <w:rPr>
                <w:rFonts w:ascii="Arial" w:hAnsi="Arial"/>
                <w:sz w:val="19"/>
              </w:rPr>
              <w:t>Assessment evaluation</w:t>
            </w:r>
          </w:p>
        </w:tc>
        <w:tc>
          <w:tcPr>
            <w:tcW w:type="dxa" w:w="4320"/>
          </w:tcPr>
          <w:p>
            <w:pPr>
              <w:keepNext w:val="0"/>
              <w:spacing w:after="80" w:line="240" w:lineRule="auto"/>
            </w:pPr>
            <w:r>
              <w:rPr>
                <w:rFonts w:ascii="Arial" w:hAnsi="Arial"/>
                <w:sz w:val="19"/>
              </w:rPr>
              <w:t>Labelled dataset, independent review, held-out metrics and agreed acceptance criteria.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keepNext w:val="0"/>
              <w:spacing w:after="80" w:line="240" w:lineRule="auto"/>
            </w:pPr>
            <w:r>
              <w:rPr>
                <w:rFonts w:ascii="Arial" w:hAnsi="Arial"/>
                <w:sz w:val="19"/>
              </w:rPr>
              <w:t>Image/deepfake delivery</w:t>
            </w:r>
          </w:p>
        </w:tc>
        <w:tc>
          <w:tcPr>
            <w:tcW w:type="dxa" w:w="4320"/>
          </w:tcPr>
          <w:p>
            <w:pPr>
              <w:keepNext w:val="0"/>
              <w:spacing w:after="80" w:line="240" w:lineRule="auto"/>
            </w:pPr>
            <w:r>
              <w:rPr>
                <w:rFonts w:ascii="Arial" w:hAnsi="Arial"/>
                <w:sz w:val="19"/>
              </w:rPr>
              <w:t>Named owners, detector/services, input limits, implementation and evaluation.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keepNext w:val="0"/>
              <w:spacing w:after="80" w:line="240" w:lineRule="auto"/>
            </w:pPr>
            <w:r>
              <w:rPr>
                <w:rFonts w:ascii="Arial" w:hAnsi="Arial"/>
                <w:sz w:val="19"/>
              </w:rPr>
              <w:t>Remaining user/operational functions</w:t>
            </w:r>
          </w:p>
        </w:tc>
        <w:tc>
          <w:tcPr>
            <w:tcW w:type="dxa" w:w="4320"/>
          </w:tcPr>
          <w:p>
            <w:pPr>
              <w:keepNext w:val="0"/>
              <w:spacing w:after="80" w:line="240" w:lineRule="auto"/>
            </w:pPr>
            <w:r>
              <w:rPr>
                <w:rFonts w:ascii="Arial" w:hAnsi="Arial"/>
                <w:sz w:val="19"/>
              </w:rPr>
              <w:t>Link screening, subscriptions, deletion, reports, public result links and portals according to agreed priority.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keepNext w:val="0"/>
              <w:spacing w:after="80" w:line="240" w:lineRule="auto"/>
            </w:pPr>
            <w:r>
              <w:rPr>
                <w:rFonts w:ascii="Arial" w:hAnsi="Arial"/>
                <w:sz w:val="19"/>
              </w:rPr>
              <w:t>Deployment/privacy</w:t>
            </w:r>
          </w:p>
        </w:tc>
        <w:tc>
          <w:tcPr>
            <w:tcW w:type="dxa" w:w="4320"/>
          </w:tcPr>
          <w:p>
            <w:pPr>
              <w:keepNext w:val="0"/>
              <w:spacing w:after="80" w:line="240" w:lineRule="auto"/>
            </w:pPr>
            <w:r>
              <w:rPr>
                <w:rFonts w:ascii="Arial" w:hAnsi="Arial"/>
                <w:sz w:val="19"/>
              </w:rPr>
              <w:t>Release package, public addresses if required, configuration/rules/IAM, privacy/terms, retention/deletion and recovery procedures.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keepNext w:val="0"/>
              <w:spacing w:after="80" w:line="240" w:lineRule="auto"/>
            </w:pPr>
            <w:r>
              <w:rPr>
                <w:rFonts w:ascii="Arial" w:hAnsi="Arial"/>
                <w:sz w:val="19"/>
              </w:rPr>
              <w:t>Non-functional validation</w:t>
            </w:r>
          </w:p>
        </w:tc>
        <w:tc>
          <w:tcPr>
            <w:tcW w:type="dxa" w:w="4320"/>
          </w:tcPr>
          <w:p>
            <w:pPr>
              <w:keepNext w:val="0"/>
              <w:spacing w:after="80" w:line="240" w:lineRule="auto"/>
            </w:pPr>
            <w:r>
              <w:rPr>
                <w:rFonts w:ascii="Arial" w:hAnsi="Arial"/>
                <w:sz w:val="19"/>
              </w:rPr>
              <w:t>Load, response-time distribution, physical-device testing, inactivity rules, accessibility and older-user comprehension.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keepNext w:val="0"/>
              <w:spacing w:after="80" w:line="240" w:lineRule="auto"/>
            </w:pPr>
            <w:r>
              <w:rPr>
                <w:rFonts w:ascii="Arial" w:hAnsi="Arial"/>
                <w:sz w:val="19"/>
              </w:rPr>
              <w:t>Management records</w:t>
            </w:r>
          </w:p>
        </w:tc>
        <w:tc>
          <w:tcPr>
            <w:tcW w:type="dxa" w:w="4320"/>
          </w:tcPr>
          <w:p>
            <w:pPr>
              <w:keepNext w:val="0"/>
              <w:spacing w:after="80" w:line="240" w:lineRule="auto"/>
            </w:pPr>
            <w:r>
              <w:rPr>
                <w:rFonts w:ascii="Arial" w:hAnsi="Arial"/>
                <w:sz w:val="19"/>
              </w:rPr>
              <w:t>Official November deadline, rebaselined Gantt/WBS dates, approved learning objectives/charter, complete meeting minutes and contribution attribution.</w:t>
            </w:r>
          </w:p>
        </w:tc>
      </w:tr>
    </w:tbl>
    <w:p>
      <w:pPr>
        <w:jc w:val="both"/>
      </w:pPr>
      <w:r>
        <w:t>The report follows the sample’s progression from project rationale through requirements to design. Supporting test records, actual meeting notes and references are collected in Chapter 19. PTD_MISSING_INFORMATION.md remains the companion checklist for unresolved information and implementation work.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91" w:bottom="1134" w:left="1191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sz w:val="16"/>
      </w:rPr>
      <w:t>FYP-26-S3-30  |  uiabo  |  Preliminary Technical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4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00000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UIABO Preliminary Technical Documentation</dc:title>
  <dc:subject>FYP-26-S3-30 — sample-aligned report structure</dc:subject>
  <dc:creator>FYP-26-S3-30 project team</dc:creator>
  <cp:keywords/>
  <dc:description>Version 0.3, 8 September 2026. Word-only structural revision.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