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19. Appendix</w:t>
      </w:r>
    </w:p>
    <w:p>
      <w:pPr>
        <w:jc w:val="both"/>
      </w:pPr>
      <w:r>
        <w:t>The appendix preserves supporting progress evidence, meeting records and references. These records remain dated; reformatting the report does not create new test results, meeting approvals or completion claims.</w:t>
      </w:r>
    </w:p>
    <w:p>
      <w:pPr>
        <w:pStyle w:val="Heading2"/>
      </w:pPr>
      <w:r>
        <w:rPr>
          <w:rFonts w:ascii="Arial" w:hAnsi="Arial"/>
          <w:b/>
          <w:color w:val="000000"/>
          <w:sz w:val="24"/>
        </w:rPr>
        <w:t>19.1 System Test Summary</w:t>
      </w:r>
    </w:p>
    <w:p>
      <w:pPr>
        <w:pStyle w:val="Heading3"/>
        <w:pageBreakBefore w:val="0"/>
      </w:pPr>
      <w:r>
        <w:rPr>
          <w:rFonts w:ascii="Arial" w:hAnsi="Arial"/>
          <w:b/>
          <w:color w:val="000000"/>
          <w:sz w:val="22"/>
        </w:rPr>
        <w:t>19.1.1 Overview</w:t>
      </w:r>
    </w:p>
    <w:p>
      <w:pPr>
        <w:pageBreakBefore w:val="0"/>
        <w:jc w:val="both"/>
      </w:pPr>
      <w:r>
        <w:t>The former PTD reported 154 tests and disconnected claim/retrieval stages. The latest recorded integration snapshot reports 262 passing backend tests, a successful Android export and live authenticated Firestore checks. Claim analysis and retrieval are now connected. These results verify behavior and integration; they do not establish misinformation-detection accuracy.</w:t>
      </w:r>
    </w:p>
    <w:p>
      <w:pPr>
        <w:pStyle w:val="Heading3"/>
        <w:pageBreakBefore w:val="0"/>
      </w:pPr>
      <w:r>
        <w:rPr>
          <w:rFonts w:ascii="Arial" w:hAnsi="Arial"/>
          <w:b/>
          <w:color w:val="000000"/>
          <w:sz w:val="22"/>
        </w:rPr>
        <w:t>19.1.2 Scope and methodology</w:t>
      </w:r>
    </w:p>
    <w:p>
      <w:pPr>
        <w:pStyle w:val="ListBullet"/>
        <w:pageBreakBefore w:val="0"/>
      </w:pPr>
      <w:r>
        <w:t>Unit/contract tests cover input preparation, language checks, AI response validation, retrieval filtering/fallback, lexical assessment and orchestrator stopping rules.</w:t>
      </w:r>
    </w:p>
    <w:p>
      <w:pPr>
        <w:pStyle w:val="ListBullet"/>
        <w:pageBreakBefore w:val="0"/>
      </w:pPr>
      <w:r>
        <w:t>FastAPI tests verify authenticated access, owner-only history/detail, quota, retries, conflicting keys and controlled errors.</w:t>
      </w:r>
    </w:p>
    <w:p>
      <w:pPr>
        <w:pStyle w:val="ListBullet"/>
        <w:pageBreakBefore w:val="0"/>
      </w:pPr>
      <w:r>
        <w:t>Transaction/lease tests exercise duplicate completion, concurrent requests, stale leases, rollback, calendar resets and denial of client-selected Premium.</w:t>
      </w:r>
    </w:p>
    <w:p>
      <w:pPr>
        <w:pStyle w:val="ListBullet"/>
        <w:pageBreakBefore w:val="0"/>
      </w:pPr>
      <w:r>
        <w:t>Offline tests use mocked providers and in-memory/fake stores. Separate opt-in live smoke tests consume provider quota and use isolated integration accounts.</w:t>
      </w:r>
    </w:p>
    <w:p>
      <w:pPr>
        <w:pStyle w:val="ListBullet"/>
        <w:pageBreakBefore w:val="0"/>
      </w:pPr>
      <w:r>
        <w:t>Android export verifies bundling; emulator captures and API observations establish selected user flows. They are not physical-device or elderly-user acceptance tests.</w:t>
      </w:r>
    </w:p>
    <w:p>
      <w:pPr>
        <w:pStyle w:val="Heading3"/>
        <w:pageBreakBefore w:val="0"/>
      </w:pPr>
      <w:r>
        <w:rPr>
          <w:rFonts w:ascii="Arial" w:hAnsi="Arial"/>
          <w:b/>
          <w:color w:val="000000"/>
          <w:sz w:val="22"/>
        </w:rPr>
        <w:t>19.1.3 Dated result summary</w:t>
      </w:r>
    </w:p>
    <w:tbl>
      <w:tblPr>
        <w:tblStyle w:val="LightShading-Accent1"/>
        <w:tblW w:type="auto" w:w="0"/>
        <w:tblLook w:firstColumn="1" w:firstRow="1" w:lastColumn="0" w:lastRow="0" w:noHBand="0" w:noVBand="1" w:val="04A0"/>
      </w:tblPr>
      <w:tblGrid>
        <w:gridCol w:w="2880"/>
        <w:gridCol w:w="2880"/>
        <w:gridCol w:w="2880"/>
      </w:tblGrid>
      <w:tr>
        <w:trPr>
          <w:tblHeader/>
          <w:cantSplit/>
        </w:trPr>
        <w:tc>
          <w:tcPr>
            <w:tcW w:type="dxa" w:w="2880"/>
          </w:tcPr>
          <w:p>
            <w:pPr>
              <w:keepNext w:val="0"/>
              <w:spacing w:after="80" w:line="240" w:lineRule="auto"/>
            </w:pPr>
            <w:r>
              <w:rPr>
                <w:rFonts w:ascii="Arial" w:hAnsi="Arial"/>
                <w:b/>
                <w:sz w:val="19"/>
              </w:rPr>
              <w:t>Date / record</w:t>
            </w:r>
          </w:p>
        </w:tc>
        <w:tc>
          <w:tcPr>
            <w:tcW w:type="dxa" w:w="2880"/>
          </w:tcPr>
          <w:p>
            <w:pPr>
              <w:keepNext w:val="0"/>
              <w:spacing w:after="80" w:line="240" w:lineRule="auto"/>
            </w:pPr>
            <w:r>
              <w:rPr>
                <w:rFonts w:ascii="Arial" w:hAnsi="Arial"/>
                <w:b/>
                <w:sz w:val="19"/>
              </w:rPr>
              <w:t>Observed result</w:t>
            </w:r>
          </w:p>
        </w:tc>
        <w:tc>
          <w:tcPr>
            <w:tcW w:type="dxa" w:w="2880"/>
          </w:tcPr>
          <w:p>
            <w:pPr>
              <w:keepNext w:val="0"/>
              <w:spacing w:after="80" w:line="240" w:lineRule="auto"/>
            </w:pPr>
            <w:r>
              <w:rPr>
                <w:rFonts w:ascii="Arial" w:hAnsi="Arial"/>
                <w:b/>
                <w:sz w:val="19"/>
              </w:rPr>
              <w:t>Limit</w:t>
            </w:r>
          </w:p>
        </w:tc>
      </w:tr>
      <w:tr>
        <w:trPr>
          <w:cantSplit/>
        </w:trPr>
        <w:tc>
          <w:tcPr>
            <w:tcW w:type="dxa" w:w="2880"/>
          </w:tcPr>
          <w:p>
            <w:pPr>
              <w:keepNext w:val="0"/>
              <w:spacing w:after="80" w:line="240" w:lineRule="auto"/>
            </w:pPr>
            <w:r>
              <w:rPr>
                <w:rFonts w:ascii="Arial" w:hAnsi="Arial"/>
                <w:sz w:val="19"/>
              </w:rPr>
              <w:t>6 Sep — Matthew claim report</w:t>
            </w:r>
          </w:p>
        </w:tc>
        <w:tc>
          <w:tcPr>
            <w:tcW w:type="dxa" w:w="2880"/>
          </w:tcPr>
          <w:p>
            <w:pPr>
              <w:keepNext w:val="0"/>
              <w:spacing w:after="80" w:line="240" w:lineRule="auto"/>
            </w:pPr>
            <w:r>
              <w:rPr>
                <w:rFonts w:ascii="Arial" w:hAnsi="Arial"/>
                <w:sz w:val="19"/>
              </w:rPr>
              <w:t>207 backend tests at that point; 7/8 synthetic claim-stage examples matched; satire disagreed.</w:t>
            </w:r>
          </w:p>
        </w:tc>
        <w:tc>
          <w:tcPr>
            <w:tcW w:type="dxa" w:w="2880"/>
          </w:tcPr>
          <w:p>
            <w:pPr>
              <w:keepNext w:val="0"/>
              <w:spacing w:after="80" w:line="240" w:lineRule="auto"/>
            </w:pPr>
            <w:r>
              <w:rPr>
                <w:rFonts w:ascii="Arial" w:hAnsi="Arial"/>
                <w:sz w:val="19"/>
              </w:rPr>
              <w:t>Not a held-out benchmark or factual-veracity accuracy.</w:t>
            </w:r>
          </w:p>
        </w:tc>
      </w:tr>
      <w:tr>
        <w:trPr>
          <w:cantSplit/>
        </w:trPr>
        <w:tc>
          <w:tcPr>
            <w:tcW w:type="dxa" w:w="2880"/>
          </w:tcPr>
          <w:p>
            <w:pPr>
              <w:keepNext w:val="0"/>
              <w:spacing w:after="80" w:line="240" w:lineRule="auto"/>
            </w:pPr>
            <w:r>
              <w:rPr>
                <w:rFonts w:ascii="Arial" w:hAnsi="Arial"/>
                <w:sz w:val="19"/>
              </w:rPr>
              <w:t>7 Sep — retrieval report</w:t>
            </w:r>
          </w:p>
        </w:tc>
        <w:tc>
          <w:tcPr>
            <w:tcW w:type="dxa" w:w="2880"/>
          </w:tcPr>
          <w:p>
            <w:pPr>
              <w:keepNext w:val="0"/>
              <w:spacing w:after="80" w:line="240" w:lineRule="auto"/>
            </w:pPr>
            <w:r>
              <w:rPr>
                <w:rFonts w:ascii="Arial" w:hAnsi="Arial"/>
                <w:sz w:val="19"/>
              </w:rPr>
              <w:t>247 backend tests at that point; 45 retrieval tests. Three live text-pipeline requests completed with real providers.</w:t>
            </w:r>
          </w:p>
        </w:tc>
        <w:tc>
          <w:tcPr>
            <w:tcW w:type="dxa" w:w="2880"/>
          </w:tcPr>
          <w:p>
            <w:pPr>
              <w:keepNext w:val="0"/>
              <w:spacing w:after="80" w:line="240" w:lineRule="auto"/>
            </w:pPr>
            <w:r>
              <w:rPr>
                <w:rFonts w:ascii="Arial" w:hAnsi="Arial"/>
                <w:sz w:val="19"/>
              </w:rPr>
              <w:t>Operational success includes an observed incorrect stance on a myth passage.</w:t>
            </w:r>
          </w:p>
        </w:tc>
      </w:tr>
      <w:tr>
        <w:trPr>
          <w:cantSplit/>
        </w:trPr>
        <w:tc>
          <w:tcPr>
            <w:tcW w:type="dxa" w:w="2880"/>
          </w:tcPr>
          <w:p>
            <w:pPr>
              <w:keepNext w:val="0"/>
              <w:spacing w:after="80" w:line="240" w:lineRule="auto"/>
            </w:pPr>
            <w:r>
              <w:rPr>
                <w:rFonts w:ascii="Arial" w:hAnsi="Arial"/>
                <w:sz w:val="19"/>
              </w:rPr>
              <w:t>7 Sep — app integration</w:t>
            </w:r>
          </w:p>
        </w:tc>
        <w:tc>
          <w:tcPr>
            <w:tcW w:type="dxa" w:w="2880"/>
          </w:tcPr>
          <w:p>
            <w:pPr>
              <w:keepNext w:val="0"/>
              <w:spacing w:after="80" w:line="240" w:lineRule="auto"/>
            </w:pPr>
            <w:r>
              <w:rPr>
                <w:rFonts w:ascii="Arial" w:hAnsi="Arial"/>
                <w:sz w:val="19"/>
              </w:rPr>
              <w:t>262 backend tests passed; one existing Starlette/httpx deprecation warning. Android production export succeeded.</w:t>
            </w:r>
          </w:p>
        </w:tc>
        <w:tc>
          <w:tcPr>
            <w:tcW w:type="dxa" w:w="2880"/>
          </w:tcPr>
          <w:p>
            <w:pPr>
              <w:keepNext w:val="0"/>
              <w:spacing w:after="80" w:line="240" w:lineRule="auto"/>
            </w:pPr>
            <w:r>
              <w:rPr>
                <w:rFonts w:ascii="Arial" w:hAnsi="Arial"/>
                <w:sz w:val="19"/>
              </w:rPr>
              <w:t>Dated recorded run; no new full test execution was needed for this documentation update.</w:t>
            </w:r>
          </w:p>
        </w:tc>
      </w:tr>
      <w:tr>
        <w:trPr>
          <w:cantSplit/>
        </w:trPr>
        <w:tc>
          <w:tcPr>
            <w:tcW w:type="dxa" w:w="2880"/>
          </w:tcPr>
          <w:p>
            <w:pPr>
              <w:keepNext w:val="0"/>
              <w:spacing w:after="80" w:line="240" w:lineRule="auto"/>
            </w:pPr>
            <w:r>
              <w:rPr>
                <w:rFonts w:ascii="Arial" w:hAnsi="Arial"/>
                <w:sz w:val="19"/>
              </w:rPr>
              <w:t>7 Sep — live Firestore report</w:t>
            </w:r>
          </w:p>
        </w:tc>
        <w:tc>
          <w:tcPr>
            <w:tcW w:type="dxa" w:w="2880"/>
          </w:tcPr>
          <w:p>
            <w:pPr>
              <w:keepNext w:val="0"/>
              <w:spacing w:after="80" w:line="240" w:lineRule="auto"/>
            </w:pPr>
            <w:r>
              <w:rPr>
                <w:rFonts w:ascii="Arial" w:hAnsi="Arial"/>
                <w:sz w:val="19"/>
              </w:rPr>
              <w:t>9 recorded checks: replay, owned history/detail, other-user denial, quota, stored evidence and direct-read denial.</w:t>
            </w:r>
          </w:p>
        </w:tc>
        <w:tc>
          <w:tcPr>
            <w:tcW w:type="dxa" w:w="2880"/>
          </w:tcPr>
          <w:p>
            <w:pPr>
              <w:keepNext w:val="0"/>
              <w:spacing w:after="80" w:line="240" w:lineRule="auto"/>
            </w:pPr>
            <w:r>
              <w:rPr>
                <w:rFonts w:ascii="Arial" w:hAnsi="Arial"/>
                <w:sz w:val="19"/>
              </w:rPr>
              <w:t>Focused checks with isolated accounts, not a complete security audit.</w:t>
            </w:r>
          </w:p>
        </w:tc>
      </w:tr>
      <w:tr>
        <w:trPr>
          <w:cantSplit/>
        </w:trPr>
        <w:tc>
          <w:tcPr>
            <w:tcW w:type="dxa" w:w="2880"/>
          </w:tcPr>
          <w:p>
            <w:pPr>
              <w:keepNext w:val="0"/>
              <w:spacing w:after="80" w:line="240" w:lineRule="auto"/>
            </w:pPr>
            <w:r>
              <w:rPr>
                <w:rFonts w:ascii="Arial" w:hAnsi="Arial"/>
                <w:sz w:val="19"/>
              </w:rPr>
              <w:t>7 Sep — Android captures</w:t>
            </w:r>
          </w:p>
        </w:tc>
        <w:tc>
          <w:tcPr>
            <w:tcW w:type="dxa" w:w="2880"/>
          </w:tcPr>
          <w:p>
            <w:pPr>
              <w:keepNext w:val="0"/>
              <w:spacing w:after="80" w:line="240" w:lineRule="auto"/>
            </w:pPr>
            <w:r>
              <w:rPr>
                <w:rFonts w:ascii="Arial" w:hAnsi="Arial"/>
                <w:sz w:val="19"/>
              </w:rPr>
              <w:t>Premium Home, private history and saved result opened in emulator.</w:t>
            </w:r>
          </w:p>
        </w:tc>
        <w:tc>
          <w:tcPr>
            <w:tcW w:type="dxa" w:w="2880"/>
          </w:tcPr>
          <w:p>
            <w:pPr>
              <w:keepNext w:val="0"/>
              <w:spacing w:after="80" w:line="240" w:lineRule="auto"/>
            </w:pPr>
            <w:r>
              <w:rPr>
                <w:rFonts w:ascii="Arial" w:hAnsi="Arial"/>
                <w:sz w:val="19"/>
              </w:rPr>
              <w:t>No paid subscription, physical-device matrix or older-user study proven.</w:t>
            </w:r>
          </w:p>
        </w:tc>
      </w:tr>
    </w:tbl>
    <w:p>
      <w:pPr>
        <w:pStyle w:val="Heading3"/>
        <w:pageBreakBefore w:val="0"/>
      </w:pPr>
      <w:r>
        <w:rPr>
          <w:rFonts w:ascii="Arial" w:hAnsi="Arial"/>
          <w:b/>
          <w:color w:val="000000"/>
          <w:sz w:val="22"/>
        </w:rPr>
        <w:t>19.1.4 Live integration observations</w:t>
      </w:r>
    </w:p>
    <w:tbl>
      <w:tblPr>
        <w:tblStyle w:val="LightShading-Accent1"/>
        <w:tblW w:type="auto" w:w="0"/>
        <w:tblLook w:firstColumn="1" w:firstRow="1" w:lastColumn="0" w:lastRow="0" w:noHBand="0" w:noVBand="1" w:val="04A0"/>
      </w:tblPr>
      <w:tblGrid>
        <w:gridCol w:w="2880"/>
        <w:gridCol w:w="2880"/>
        <w:gridCol w:w="2880"/>
      </w:tblGrid>
      <w:tr>
        <w:trPr>
          <w:tblHeader/>
          <w:cantSplit/>
        </w:trPr>
        <w:tc>
          <w:tcPr>
            <w:tcW w:type="dxa" w:w="2880"/>
          </w:tcPr>
          <w:p>
            <w:pPr>
              <w:keepNext w:val="0"/>
              <w:spacing w:after="80" w:line="240" w:lineRule="auto"/>
            </w:pPr>
            <w:r>
              <w:rPr>
                <w:rFonts w:ascii="Arial" w:hAnsi="Arial"/>
                <w:b/>
                <w:sz w:val="19"/>
              </w:rPr>
              <w:t>Input / experiment</w:t>
            </w:r>
          </w:p>
        </w:tc>
        <w:tc>
          <w:tcPr>
            <w:tcW w:type="dxa" w:w="2880"/>
          </w:tcPr>
          <w:p>
            <w:pPr>
              <w:keepNext w:val="0"/>
              <w:spacing w:after="80" w:line="240" w:lineRule="auto"/>
            </w:pPr>
            <w:r>
              <w:rPr>
                <w:rFonts w:ascii="Arial" w:hAnsi="Arial"/>
                <w:b/>
                <w:sz w:val="19"/>
              </w:rPr>
              <w:t>Observed output</w:t>
            </w:r>
          </w:p>
        </w:tc>
        <w:tc>
          <w:tcPr>
            <w:tcW w:type="dxa" w:w="2880"/>
          </w:tcPr>
          <w:p>
            <w:pPr>
              <w:keepNext w:val="0"/>
              <w:spacing w:after="80" w:line="240" w:lineRule="auto"/>
            </w:pPr>
            <w:r>
              <w:rPr>
                <w:rFonts w:ascii="Arial" w:hAnsi="Arial"/>
                <w:b/>
                <w:sz w:val="19"/>
              </w:rPr>
              <w:t>Interpretation</w:t>
            </w:r>
          </w:p>
        </w:tc>
      </w:tr>
      <w:tr>
        <w:trPr>
          <w:cantSplit/>
        </w:trPr>
        <w:tc>
          <w:tcPr>
            <w:tcW w:type="dxa" w:w="2880"/>
          </w:tcPr>
          <w:p>
            <w:pPr>
              <w:keepNext w:val="0"/>
              <w:spacing w:after="80" w:line="240" w:lineRule="auto"/>
            </w:pPr>
            <w:r>
              <w:rPr>
                <w:rFonts w:ascii="Arial" w:hAnsi="Arial"/>
                <w:sz w:val="19"/>
              </w:rPr>
              <w:t>Great Wall visible from the Moon</w:t>
            </w:r>
          </w:p>
        </w:tc>
        <w:tc>
          <w:tcPr>
            <w:tcW w:type="dxa" w:w="2880"/>
          </w:tcPr>
          <w:p>
            <w:pPr>
              <w:keepNext w:val="0"/>
              <w:spacing w:after="80" w:line="240" w:lineRule="auto"/>
            </w:pPr>
            <w:r>
              <w:rPr>
                <w:rFonts w:ascii="Arial" w:hAnsi="Arial"/>
                <w:sz w:val="19"/>
              </w:rPr>
              <w:t>Needs Caution, score 67; Snopes and two NASA sources; recorded 6.36 s.</w:t>
            </w:r>
          </w:p>
        </w:tc>
        <w:tc>
          <w:tcPr>
            <w:tcW w:type="dxa" w:w="2880"/>
          </w:tcPr>
          <w:p>
            <w:pPr>
              <w:keepNext w:val="0"/>
              <w:spacing w:after="80" w:line="240" w:lineRule="auto"/>
            </w:pPr>
            <w:r>
              <w:rPr>
                <w:rFonts w:ascii="Arial" w:hAnsi="Arial"/>
                <w:sz w:val="19"/>
              </w:rPr>
              <w:t>A NASA myth-description passage was wrongly treated as supporting. Operational pass; assessment error remains.</w:t>
            </w:r>
          </w:p>
        </w:tc>
      </w:tr>
      <w:tr>
        <w:trPr>
          <w:cantSplit/>
        </w:trPr>
        <w:tc>
          <w:tcPr>
            <w:tcW w:type="dxa" w:w="2880"/>
          </w:tcPr>
          <w:p>
            <w:pPr>
              <w:keepNext w:val="0"/>
              <w:spacing w:after="80" w:line="240" w:lineRule="auto"/>
            </w:pPr>
            <w:r>
              <w:rPr>
                <w:rFonts w:ascii="Arial" w:hAnsi="Arial"/>
                <w:sz w:val="19"/>
              </w:rPr>
              <w:t>Singapore independence on 9 August 1965</w:t>
            </w:r>
          </w:p>
        </w:tc>
        <w:tc>
          <w:tcPr>
            <w:tcW w:type="dxa" w:w="2880"/>
          </w:tcPr>
          <w:p>
            <w:pPr>
              <w:keepNext w:val="0"/>
              <w:spacing w:after="80" w:line="240" w:lineRule="auto"/>
            </w:pPr>
            <w:r>
              <w:rPr>
                <w:rFonts w:ascii="Arial" w:hAnsi="Arial"/>
                <w:sz w:val="19"/>
              </w:rPr>
              <w:t>Low Concern, score 25; NUS/NLB sources; recorded 14.90 s in the pipeline check.</w:t>
            </w:r>
          </w:p>
        </w:tc>
        <w:tc>
          <w:tcPr>
            <w:tcW w:type="dxa" w:w="2880"/>
          </w:tcPr>
          <w:p>
            <w:pPr>
              <w:keepNext w:val="0"/>
              <w:spacing w:after="80" w:line="240" w:lineRule="auto"/>
            </w:pPr>
            <w:r>
              <w:rPr>
                <w:rFonts w:ascii="Arial" w:hAnsi="Arial"/>
                <w:sz w:val="19"/>
              </w:rPr>
              <w:t>One factual example, not a general accuracy or latency measure.</w:t>
            </w:r>
          </w:p>
        </w:tc>
      </w:tr>
      <w:tr>
        <w:trPr>
          <w:cantSplit/>
        </w:trPr>
        <w:tc>
          <w:tcPr>
            <w:tcW w:type="dxa" w:w="2880"/>
          </w:tcPr>
          <w:p>
            <w:pPr>
              <w:keepNext w:val="0"/>
              <w:spacing w:after="80" w:line="240" w:lineRule="auto"/>
            </w:pPr>
            <w:r>
              <w:rPr>
                <w:rFonts w:ascii="Arial" w:hAnsi="Arial"/>
                <w:sz w:val="19"/>
              </w:rPr>
              <w:t>Chicken rice preference</w:t>
            </w:r>
          </w:p>
        </w:tc>
        <w:tc>
          <w:tcPr>
            <w:tcW w:type="dxa" w:w="2880"/>
          </w:tcPr>
          <w:p>
            <w:pPr>
              <w:keepNext w:val="0"/>
              <w:spacing w:after="80" w:line="240" w:lineRule="auto"/>
            </w:pPr>
            <w:r>
              <w:rPr>
                <w:rFonts w:ascii="Arial" w:hAnsi="Arial"/>
                <w:sz w:val="19"/>
              </w:rPr>
              <w:t>Not Enough Information, null score; retrieval skipped; recorded 12.89 s.</w:t>
            </w:r>
          </w:p>
        </w:tc>
        <w:tc>
          <w:tcPr>
            <w:tcW w:type="dxa" w:w="2880"/>
          </w:tcPr>
          <w:p>
            <w:pPr>
              <w:keepNext w:val="0"/>
              <w:spacing w:after="80" w:line="240" w:lineRule="auto"/>
            </w:pPr>
            <w:r>
              <w:rPr>
                <w:rFonts w:ascii="Arial" w:hAnsi="Arial"/>
                <w:sz w:val="19"/>
              </w:rPr>
              <w:t>Non-checkable stopping path observed.</w:t>
            </w:r>
          </w:p>
        </w:tc>
      </w:tr>
      <w:tr>
        <w:trPr>
          <w:cantSplit/>
        </w:trPr>
        <w:tc>
          <w:tcPr>
            <w:tcW w:type="dxa" w:w="2880"/>
          </w:tcPr>
          <w:p>
            <w:pPr>
              <w:keepNext w:val="0"/>
              <w:spacing w:after="80" w:line="240" w:lineRule="auto"/>
            </w:pPr>
            <w:r>
              <w:rPr>
                <w:rFonts w:ascii="Arial" w:hAnsi="Arial"/>
                <w:sz w:val="19"/>
              </w:rPr>
              <w:t>Authenticated Firestore smoke flow</w:t>
            </w:r>
          </w:p>
        </w:tc>
        <w:tc>
          <w:tcPr>
            <w:tcW w:type="dxa" w:w="2880"/>
          </w:tcPr>
          <w:p>
            <w:pPr>
              <w:keepNext w:val="0"/>
              <w:spacing w:after="80" w:line="240" w:lineRule="auto"/>
            </w:pPr>
            <w:r>
              <w:rPr>
                <w:rFonts w:ascii="Arial" w:hAnsi="Arial"/>
                <w:sz w:val="19"/>
              </w:rPr>
              <w:t>Saved independent-Singapore claim with evidence; repeat returned same result; next free submission rejected with 429.</w:t>
            </w:r>
          </w:p>
        </w:tc>
        <w:tc>
          <w:tcPr>
            <w:tcW w:type="dxa" w:w="2880"/>
          </w:tcPr>
          <w:p>
            <w:pPr>
              <w:keepNext w:val="0"/>
              <w:spacing w:after="80" w:line="240" w:lineRule="auto"/>
            </w:pPr>
            <w:r>
              <w:rPr>
                <w:rFonts w:ascii="Arial" w:hAnsi="Arial"/>
                <w:sz w:val="19"/>
              </w:rPr>
              <w:t>Checks ownership and charging; 11.72 s report duration covers the smoke sequence, not a single inference latency.</w:t>
            </w:r>
          </w:p>
        </w:tc>
      </w:tr>
    </w:tbl>
    <w:p>
      <w:pPr>
        <w:pStyle w:val="Heading3"/>
        <w:pageBreakBefore w:val="0"/>
      </w:pPr>
      <w:r>
        <w:rPr>
          <w:rFonts w:ascii="Arial" w:hAnsi="Arial"/>
          <w:b/>
          <w:color w:val="000000"/>
          <w:sz w:val="22"/>
        </w:rPr>
        <w:t>19.1.5 Evaluation still required</w:t>
      </w:r>
    </w:p>
    <w:tbl>
      <w:tblPr>
        <w:tblStyle w:val="LightShading-Accent1"/>
        <w:tblW w:type="auto" w:w="0"/>
        <w:tblLook w:firstColumn="1" w:firstRow="1" w:lastColumn="0" w:lastRow="0" w:noHBand="0" w:noVBand="1" w:val="04A0"/>
      </w:tblPr>
      <w:tblGrid>
        <w:gridCol w:w="4320"/>
        <w:gridCol w:w="4320"/>
      </w:tblGrid>
      <w:tr>
        <w:trPr>
          <w:tblHeader/>
          <w:cantSplit/>
        </w:trPr>
        <w:tc>
          <w:tcPr>
            <w:tcW w:type="dxa" w:w="4320"/>
          </w:tcPr>
          <w:p>
            <w:pPr>
              <w:keepNext w:val="0"/>
              <w:spacing w:after="80" w:line="240" w:lineRule="auto"/>
            </w:pPr>
            <w:r>
              <w:rPr>
                <w:rFonts w:ascii="Arial" w:hAnsi="Arial"/>
                <w:b/>
                <w:sz w:val="19"/>
              </w:rPr>
              <w:t>Area</w:t>
            </w:r>
          </w:p>
        </w:tc>
        <w:tc>
          <w:tcPr>
            <w:tcW w:type="dxa" w:w="4320"/>
          </w:tcPr>
          <w:p>
            <w:pPr>
              <w:keepNext w:val="0"/>
              <w:spacing w:after="80" w:line="240" w:lineRule="auto"/>
            </w:pPr>
            <w:r>
              <w:rPr>
                <w:rFonts w:ascii="Arial" w:hAnsi="Arial"/>
                <w:b/>
                <w:sz w:val="19"/>
              </w:rPr>
              <w:t>Evidence needed</w:t>
            </w:r>
          </w:p>
        </w:tc>
      </w:tr>
      <w:tr>
        <w:trPr>
          <w:cantSplit/>
        </w:trPr>
        <w:tc>
          <w:tcPr>
            <w:tcW w:type="dxa" w:w="4320"/>
          </w:tcPr>
          <w:p>
            <w:pPr>
              <w:keepNext w:val="0"/>
              <w:spacing w:after="80" w:line="240" w:lineRule="auto"/>
            </w:pPr>
            <w:r>
              <w:rPr>
                <w:rFonts w:ascii="Arial" w:hAnsi="Arial"/>
                <w:sz w:val="19"/>
              </w:rPr>
              <w:t>Assessment accuracy</w:t>
            </w:r>
          </w:p>
        </w:tc>
        <w:tc>
          <w:tcPr>
            <w:tcW w:type="dxa" w:w="4320"/>
          </w:tcPr>
          <w:p>
            <w:pPr>
              <w:keepNext w:val="0"/>
              <w:spacing w:after="80" w:line="240" w:lineRule="auto"/>
            </w:pPr>
            <w:r>
              <w:rPr>
                <w:rFonts w:ascii="Arial" w:hAnsi="Arial"/>
                <w:sz w:val="19"/>
              </w:rPr>
              <w:t>Team-labelled, held-out claims/passages; per-class precision/recall/F1, confusion matrix and false Low Concern rate.</w:t>
            </w:r>
          </w:p>
        </w:tc>
      </w:tr>
      <w:tr>
        <w:trPr>
          <w:cantSplit/>
        </w:trPr>
        <w:tc>
          <w:tcPr>
            <w:tcW w:type="dxa" w:w="4320"/>
          </w:tcPr>
          <w:p>
            <w:pPr>
              <w:keepNext w:val="0"/>
              <w:spacing w:after="80" w:line="240" w:lineRule="auto"/>
            </w:pPr>
            <w:r>
              <w:rPr>
                <w:rFonts w:ascii="Arial" w:hAnsi="Arial"/>
                <w:sz w:val="19"/>
              </w:rPr>
              <w:t>Retrieval quality</w:t>
            </w:r>
          </w:p>
        </w:tc>
        <w:tc>
          <w:tcPr>
            <w:tcW w:type="dxa" w:w="4320"/>
          </w:tcPr>
          <w:p>
            <w:pPr>
              <w:keepNext w:val="0"/>
              <w:spacing w:after="80" w:line="240" w:lineRule="auto"/>
            </w:pPr>
            <w:r>
              <w:rPr>
                <w:rFonts w:ascii="Arial" w:hAnsi="Arial"/>
                <w:sz w:val="19"/>
              </w:rPr>
              <w:t>Relevant decisive evidence found, passage context retained, date/entity alignment and source independence.</w:t>
            </w:r>
          </w:p>
        </w:tc>
      </w:tr>
      <w:tr>
        <w:trPr>
          <w:cantSplit/>
        </w:trPr>
        <w:tc>
          <w:tcPr>
            <w:tcW w:type="dxa" w:w="4320"/>
          </w:tcPr>
          <w:p>
            <w:pPr>
              <w:keepNext w:val="0"/>
              <w:spacing w:after="80" w:line="240" w:lineRule="auto"/>
            </w:pPr>
            <w:r>
              <w:rPr>
                <w:rFonts w:ascii="Arial" w:hAnsi="Arial"/>
                <w:sz w:val="19"/>
              </w:rPr>
              <w:t>Performance/capacity</w:t>
            </w:r>
          </w:p>
        </w:tc>
        <w:tc>
          <w:tcPr>
            <w:tcW w:type="dxa" w:w="4320"/>
          </w:tcPr>
          <w:p>
            <w:pPr>
              <w:keepNext w:val="0"/>
              <w:spacing w:after="80" w:line="240" w:lineRule="auto"/>
            </w:pPr>
            <w:r>
              <w:rPr>
                <w:rFonts w:ascii="Arial" w:hAnsi="Arial"/>
                <w:sz w:val="19"/>
              </w:rPr>
              <w:t>Repeated latency measurements including p50/p95, concurrent-load testing against 100 users / 100 requests per minute targets.</w:t>
            </w:r>
          </w:p>
        </w:tc>
      </w:tr>
      <w:tr>
        <w:trPr>
          <w:cantSplit/>
        </w:trPr>
        <w:tc>
          <w:tcPr>
            <w:tcW w:type="dxa" w:w="4320"/>
          </w:tcPr>
          <w:p>
            <w:pPr>
              <w:keepNext w:val="0"/>
              <w:spacing w:after="80" w:line="240" w:lineRule="auto"/>
            </w:pPr>
            <w:r>
              <w:rPr>
                <w:rFonts w:ascii="Arial" w:hAnsi="Arial"/>
                <w:sz w:val="19"/>
              </w:rPr>
              <w:t>Usability/accessibility</w:t>
            </w:r>
          </w:p>
        </w:tc>
        <w:tc>
          <w:tcPr>
            <w:tcW w:type="dxa" w:w="4320"/>
          </w:tcPr>
          <w:p>
            <w:pPr>
              <w:keepNext w:val="0"/>
              <w:spacing w:after="80" w:line="240" w:lineRule="auto"/>
            </w:pPr>
            <w:r>
              <w:rPr>
                <w:rFonts w:ascii="Arial" w:hAnsi="Arial"/>
                <w:sz w:val="19"/>
              </w:rPr>
              <w:t>Task completion, comprehension of uncertainty, errors and navigation with older users or justified representatives.</w:t>
            </w:r>
          </w:p>
        </w:tc>
      </w:tr>
      <w:tr>
        <w:trPr>
          <w:cantSplit/>
        </w:trPr>
        <w:tc>
          <w:tcPr>
            <w:tcW w:type="dxa" w:w="4320"/>
          </w:tcPr>
          <w:p>
            <w:pPr>
              <w:keepNext w:val="0"/>
              <w:spacing w:after="80" w:line="240" w:lineRule="auto"/>
            </w:pPr>
            <w:r>
              <w:rPr>
                <w:rFonts w:ascii="Arial" w:hAnsi="Arial"/>
                <w:sz w:val="19"/>
              </w:rPr>
              <w:t>Security/privacy/recovery</w:t>
            </w:r>
          </w:p>
        </w:tc>
        <w:tc>
          <w:tcPr>
            <w:tcW w:type="dxa" w:w="4320"/>
          </w:tcPr>
          <w:p>
            <w:pPr>
              <w:keepNext w:val="0"/>
              <w:spacing w:after="80" w:line="240" w:lineRule="auto"/>
            </w:pPr>
            <w:r>
              <w:rPr>
                <w:rFonts w:ascii="Arial" w:hAnsi="Arial"/>
                <w:sz w:val="19"/>
              </w:rPr>
              <w:t>Broader rules/IAM review, adversarial prompts, deployment transport, backup/recovery and retention/deletion validation.</w:t>
            </w:r>
          </w:p>
        </w:tc>
      </w:tr>
      <w:tr>
        <w:trPr>
          <w:cantSplit/>
        </w:trPr>
        <w:tc>
          <w:tcPr>
            <w:tcW w:type="dxa" w:w="4320"/>
          </w:tcPr>
          <w:p>
            <w:pPr>
              <w:keepNext w:val="0"/>
              <w:spacing w:after="80" w:line="240" w:lineRule="auto"/>
            </w:pPr>
            <w:r>
              <w:rPr>
                <w:rFonts w:ascii="Arial" w:hAnsi="Arial"/>
                <w:sz w:val="19"/>
              </w:rPr>
              <w:t>Image and release acceptance</w:t>
            </w:r>
          </w:p>
        </w:tc>
        <w:tc>
          <w:tcPr>
            <w:tcW w:type="dxa" w:w="4320"/>
          </w:tcPr>
          <w:p>
            <w:pPr>
              <w:keepNext w:val="0"/>
              <w:spacing w:after="80" w:line="240" w:lineRule="auto"/>
            </w:pPr>
            <w:r>
              <w:rPr>
                <w:rFonts w:ascii="Arial" w:hAnsi="Arial"/>
                <w:sz w:val="19"/>
              </w:rPr>
              <w:t>Selected detector evaluation, OCR/context tests, physical devices and signed release package.</w:t>
            </w:r>
          </w:p>
        </w:tc>
      </w:tr>
    </w:tbl>
    <w:p>
      <w:pPr>
        <w:pStyle w:val="Heading3"/>
        <w:pageBreakBefore w:val="0"/>
      </w:pPr>
      <w:r>
        <w:rPr>
          <w:rFonts w:ascii="Arial" w:hAnsi="Arial"/>
          <w:b/>
          <w:color w:val="000000"/>
          <w:sz w:val="22"/>
        </w:rPr>
        <w:t>19.1.6 Proposed assessment-improvement experiment</w:t>
      </w:r>
    </w:p>
    <w:p>
      <w:pPr>
        <w:pageBreakBefore w:val="0"/>
        <w:jc w:val="both"/>
      </w:pPr>
      <w:r>
        <w:t>Compare the current lexical baseline with an evidence-grounded LLM or evaluated entailment model. Require per-source stance, an exact evidence quote and a short justification; validate the quote against the passage. Check entities, dates, amounts and eligibility, and retain a neutral/insufficient-evidence outcome. Deduplicate dependent sources before aggregation. This is a proposed experiment, not an implemented fix.</w:t>
      </w:r>
    </w:p>
    <w:p>
      <w:pPr>
        <w:pageBreakBefore w:val="0"/>
        <w:jc w:val="both"/>
      </w:pPr>
      <w:r>
        <w:t>Start with 60–100 balanced claims including myths, unrelated negation, dated announcements and missing evidence. Two teammates should label and reconcile disagreements. Separate development examples from held-out evaluation and report coverage as well as errors, so returning Not Enough Information for everything is not mistaken for good accuracy. No final numeric acceptance target has been approved.</w:t>
      </w:r>
    </w:p>
    <w:p>
      <w:pPr>
        <w:pageBreakBefore w:val="0"/>
        <w:jc w:val="both"/>
      </w:pPr>
      <w:r>
        <w:rPr>
          <w:color w:val="536779"/>
          <w:sz w:val="18"/>
        </w:rPr>
        <w:t>Evidence / source: evaluation/reports/matthew_claim_evaluation.md; chu_retrieval_evaluation.md; text_pipeline_live_2026-09-07.json; app-integration/README.md and firestore-live.json. Existing synthetic samples are not independent ground truth.</w:t>
      </w:r>
    </w:p>
    <w:p>
      <w:pPr>
        <w:pStyle w:val="Heading2"/>
      </w:pPr>
      <w:r>
        <w:rPr>
          <w:rFonts w:ascii="Arial" w:hAnsi="Arial"/>
          <w:b/>
          <w:color w:val="000000"/>
          <w:sz w:val="24"/>
        </w:rPr>
        <w:t>19.2 Meeting Minutes</w:t>
      </w:r>
    </w:p>
    <w:p>
      <w:pPr>
        <w:pageBreakBefore w:val="0"/>
        <w:jc w:val="both"/>
      </w:pPr>
      <w:r>
        <w:t>Historical meeting records are retained as recorded; they are not rewritten to reflect later progress. The earlier note treating deepfake as scope-sensitive is superseded for current planning by the user’s confirmation that deepfake is required and audio excluded. This later clarification is not claimed as a recorded supervisor approval at the August meeting.</w:t>
      </w:r>
    </w:p>
    <w:p>
      <w:pPr>
        <w:pStyle w:val="Heading3"/>
        <w:keepNext/>
        <w:pageBreakBefore w:val="0"/>
      </w:pPr>
      <w:r>
        <w:rPr>
          <w:rFonts w:ascii="Arial" w:hAnsi="Arial"/>
          <w:b/>
          <w:color w:val="000000"/>
          <w:sz w:val="22"/>
        </w:rPr>
        <w:t>19.2.1 Implementation Planning Meeting – 13 August 2026</w:t>
      </w:r>
    </w:p>
    <w:p>
      <w:pPr>
        <w:keepNext/>
        <w:pageBreakBefore w:val="0"/>
      </w:pPr>
      <w:r>
        <w:rPr>
          <w:b/>
        </w:rPr>
        <w:t>Objective</w:t>
      </w:r>
    </w:p>
    <w:p>
      <w:pPr>
        <w:pageBreakBefore w:val="0"/>
        <w:jc w:val="both"/>
      </w:pPr>
      <w:r>
        <w:t>Review the current UIABO implementation, agree on the first evidence-backed misinformation pipeline and divide Sprint 1 work.</w:t>
      </w:r>
    </w:p>
    <w:p>
      <w:pPr>
        <w:keepNext/>
        <w:pageBreakBefore w:val="0"/>
      </w:pPr>
      <w:r>
        <w:rPr>
          <w:b/>
        </w:rPr>
        <w:t>Recorded Progress</w:t>
      </w:r>
    </w:p>
    <w:p>
      <w:pPr>
        <w:pStyle w:val="ListBullet"/>
        <w:pageBreakBefore w:val="0"/>
      </w:pPr>
      <w:r>
        <w:t>Initial FastAPI application, health endpoint and text-analysis endpoint created.</w:t>
      </w:r>
    </w:p>
    <w:p>
      <w:pPr>
        <w:pStyle w:val="ListBullet"/>
        <w:pageBreakBefore w:val="0"/>
      </w:pPr>
      <w:r>
        <w:t>Request and response validation and initial automated API tests completed.</w:t>
      </w:r>
    </w:p>
    <w:p>
      <w:pPr>
        <w:pStyle w:val="ListBullet"/>
        <w:pageBreakBefore w:val="0"/>
      </w:pPr>
      <w:r>
        <w:t>Firebase project and Cloud Firestore connection established, with a successful write-and-read smoke test.</w:t>
      </w:r>
    </w:p>
    <w:p>
      <w:pPr>
        <w:pStyle w:val="ListBullet"/>
        <w:pageBreakBefore w:val="0"/>
      </w:pPr>
      <w:r>
        <w:t>The original fixed mock result was identified as unsuitable for a real misinformation assessment.</w:t>
      </w:r>
    </w:p>
    <w:p>
      <w:pPr>
        <w:keepNext/>
        <w:pageBreakBefore w:val="0"/>
      </w:pPr>
      <w:r>
        <w:rPr>
          <w:b/>
        </w:rPr>
        <w:t>Decisions and Actions</w:t>
      </w:r>
    </w:p>
    <w:p>
      <w:pPr>
        <w:pStyle w:val="ListBullet"/>
        <w:pageBreakBefore w:val="0"/>
      </w:pPr>
      <w:r>
        <w:t>Use a staged pipeline: input preparation, claim analysis, evidence retrieval, evidence assessment and final integration.</w:t>
      </w:r>
    </w:p>
    <w:p>
      <w:pPr>
        <w:pStyle w:val="ListBullet"/>
        <w:pageBreakBefore w:val="0"/>
      </w:pPr>
      <w:r>
        <w:t>Develop against shared Pydantic and JSON interfaces so members can work independently.</w:t>
      </w:r>
    </w:p>
    <w:p>
      <w:pPr>
        <w:pStyle w:val="ListBullet"/>
        <w:pageBreakBefore w:val="0"/>
      </w:pPr>
      <w:r>
        <w:t>Return Not Enough Information rather than inventing a risk score when a claim is not checkable or evidence is insufficient.</w:t>
      </w:r>
    </w:p>
    <w:p>
      <w:pPr>
        <w:pStyle w:val="ListBullet"/>
        <w:pageBreakBefore w:val="0"/>
      </w:pPr>
      <w:r>
        <w:t>Treat deepfake or AI-generated-image detection as scope-sensitive until it is confirmed with the supervisor.</w:t>
      </w:r>
    </w:p>
    <w:p>
      <w:pPr>
        <w:pStyle w:val="ListBullet"/>
        <w:pageBreakBefore w:val="0"/>
      </w:pPr>
      <w:r>
        <w:t>Create a small evaluation dataset and test each component before complete integration.</w:t>
      </w:r>
    </w:p>
    <w:p>
      <w:pPr>
        <w:pStyle w:val="Heading3"/>
        <w:keepNext/>
        <w:pageBreakBefore w:val="0"/>
      </w:pPr>
      <w:r>
        <w:rPr>
          <w:rFonts w:ascii="Arial" w:hAnsi="Arial"/>
          <w:b/>
          <w:color w:val="000000"/>
          <w:sz w:val="22"/>
        </w:rPr>
        <w:t>19.2.2 Available Supporting Records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pPr>
              <w:keepNext w:val="0"/>
              <w:spacing w:after="80" w:line="240" w:lineRule="auto"/>
            </w:pPr>
            <w:r>
              <w:rPr>
                <w:rFonts w:ascii="Arial" w:hAnsi="Arial"/>
                <w:b/>
                <w:sz w:val="20"/>
              </w:rPr>
            </w:r>
            <w:r>
              <w:rPr>
                <w:rFonts w:ascii="Arial" w:hAnsi="Arial"/>
                <w:b/>
                <w:sz w:val="20"/>
              </w:rPr>
              <w:t>Record</w:t>
            </w:r>
          </w:p>
        </w:tc>
        <w:tc>
          <w:tcPr>
            <w:tcW w:type="dxa" w:w="4320"/>
            <w:vAlign w:val="center"/>
          </w:tcPr>
          <w:p>
            <w:pPr>
              <w:keepNext w:val="0"/>
              <w:spacing w:after="80" w:line="240" w:lineRule="auto"/>
            </w:pPr>
            <w:r>
              <w:rPr>
                <w:rFonts w:ascii="Arial" w:hAnsi="Arial"/>
                <w:b/>
                <w:sz w:val="20"/>
              </w:rPr>
            </w:r>
            <w:r>
              <w:rPr>
                <w:rFonts w:ascii="Arial" w:hAnsi="Arial"/>
                <w:b/>
                <w:sz w:val="20"/>
              </w:rPr>
              <w:t>Purpose</w:t>
            </w:r>
          </w:p>
        </w:tc>
      </w:tr>
      <w:tr>
        <w:tc>
          <w:tcPr>
            <w:tcW w:type="dxa" w:w="4320"/>
            <w:vAlign w:val="center"/>
          </w:tcPr>
          <w:p>
            <w:pPr>
              <w:keepNext w:val="0"/>
              <w:spacing w:after="80" w:line="240" w:lineRule="auto"/>
            </w:pPr>
            <w:r>
              <w:rPr>
                <w:rFonts w:ascii="Arial" w:hAnsi="Arial"/>
                <w:sz w:val="20"/>
              </w:rPr>
            </w:r>
            <w:r>
              <w:rPr>
                <w:rFonts w:ascii="Arial" w:hAnsi="Arial"/>
                <w:b w:val="0"/>
                <w:sz w:val="20"/>
              </w:rPr>
              <w:t>MeetingNotes/uiabo_meeting_notes.md</w:t>
            </w:r>
          </w:p>
        </w:tc>
        <w:tc>
          <w:tcPr>
            <w:tcW w:type="dxa" w:w="4320"/>
            <w:vAlign w:val="center"/>
          </w:tcPr>
          <w:p>
            <w:pPr>
              <w:keepNext w:val="0"/>
              <w:spacing w:after="80" w:line="240" w:lineRule="auto"/>
            </w:pPr>
            <w:r>
              <w:rPr>
                <w:rFonts w:ascii="Arial" w:hAnsi="Arial"/>
                <w:sz w:val="20"/>
              </w:rPr>
            </w:r>
            <w:r>
              <w:rPr>
                <w:rFonts w:ascii="Arial" w:hAnsi="Arial"/>
                <w:b w:val="0"/>
                <w:sz w:val="20"/>
              </w:rPr>
              <w:t>Detailed implementation review, pipeline proposal and decisions required.</w:t>
            </w:r>
          </w:p>
        </w:tc>
      </w:tr>
      <w:tr>
        <w:tc>
          <w:tcPr>
            <w:tcW w:type="dxa" w:w="4320"/>
            <w:vAlign w:val="center"/>
          </w:tcPr>
          <w:p>
            <w:pPr>
              <w:keepNext w:val="0"/>
              <w:spacing w:after="80" w:line="240" w:lineRule="auto"/>
            </w:pPr>
            <w:r>
              <w:rPr>
                <w:rFonts w:ascii="Arial" w:hAnsi="Arial"/>
                <w:sz w:val="20"/>
              </w:rPr>
            </w:r>
            <w:r>
              <w:rPr>
                <w:rFonts w:ascii="Arial" w:hAnsi="Arial"/>
                <w:b w:val="0"/>
                <w:sz w:val="20"/>
              </w:rPr>
              <w:t>MeetingNotes/team_meeting_brief_2026-08-13.md</w:t>
            </w:r>
          </w:p>
        </w:tc>
        <w:tc>
          <w:tcPr>
            <w:tcW w:type="dxa" w:w="4320"/>
            <w:vAlign w:val="center"/>
          </w:tcPr>
          <w:p>
            <w:pPr>
              <w:keepNext w:val="0"/>
              <w:spacing w:after="80" w:line="240" w:lineRule="auto"/>
            </w:pPr>
            <w:r>
              <w:rPr>
                <w:rFonts w:ascii="Arial" w:hAnsi="Arial"/>
                <w:sz w:val="20"/>
              </w:rPr>
            </w:r>
            <w:r>
              <w:rPr>
                <w:rFonts w:ascii="Arial" w:hAnsi="Arial"/>
                <w:b w:val="0"/>
                <w:sz w:val="20"/>
              </w:rPr>
              <w:t>Condensed meeting brief and suggested next-sprint goal.</w:t>
            </w:r>
          </w:p>
        </w:tc>
      </w:tr>
      <w:tr>
        <w:tc>
          <w:tcPr>
            <w:tcW w:type="dxa" w:w="4320"/>
            <w:vAlign w:val="center"/>
          </w:tcPr>
          <w:p>
            <w:pPr>
              <w:keepNext w:val="0"/>
              <w:spacing w:after="80" w:line="240" w:lineRule="auto"/>
            </w:pPr>
            <w:r>
              <w:rPr>
                <w:rFonts w:ascii="Arial" w:hAnsi="Arial"/>
                <w:sz w:val="20"/>
              </w:rPr>
            </w:r>
            <w:r>
              <w:rPr>
                <w:rFonts w:ascii="Arial" w:hAnsi="Arial"/>
                <w:b w:val="0"/>
                <w:sz w:val="20"/>
              </w:rPr>
              <w:t>MeetingNotes/Meeting1Slides.md</w:t>
            </w:r>
          </w:p>
        </w:tc>
        <w:tc>
          <w:tcPr>
            <w:tcW w:type="dxa" w:w="4320"/>
            <w:vAlign w:val="center"/>
          </w:tcPr>
          <w:p>
            <w:pPr>
              <w:keepNext w:val="0"/>
              <w:spacing w:after="80" w:line="240" w:lineRule="auto"/>
            </w:pPr>
            <w:r>
              <w:rPr>
                <w:rFonts w:ascii="Arial" w:hAnsi="Arial"/>
                <w:sz w:val="20"/>
              </w:rPr>
            </w:r>
            <w:r>
              <w:rPr>
                <w:rFonts w:ascii="Arial" w:hAnsi="Arial"/>
                <w:b w:val="0"/>
                <w:sz w:val="20"/>
              </w:rPr>
              <w:t>Slides used to present the Sprint 1 plan.</w:t>
            </w:r>
          </w:p>
        </w:tc>
      </w:tr>
      <w:tr>
        <w:tc>
          <w:tcPr>
            <w:tcW w:type="dxa" w:w="4320"/>
            <w:vAlign w:val="center"/>
          </w:tcPr>
          <w:p>
            <w:pPr>
              <w:keepNext w:val="0"/>
              <w:spacing w:after="80" w:line="240" w:lineRule="auto"/>
            </w:pPr>
            <w:r>
              <w:rPr>
                <w:rFonts w:ascii="Arial" w:hAnsi="Arial"/>
                <w:sz w:val="20"/>
              </w:rPr>
            </w:r>
            <w:r>
              <w:rPr>
                <w:rFonts w:ascii="Arial" w:hAnsi="Arial"/>
                <w:b w:val="0"/>
                <w:sz w:val="20"/>
              </w:rPr>
              <w:t>MeetingNotes/Meeting1_Speaker_Notes.md</w:t>
            </w:r>
          </w:p>
        </w:tc>
        <w:tc>
          <w:tcPr>
            <w:tcW w:type="dxa" w:w="4320"/>
            <w:vAlign w:val="center"/>
          </w:tcPr>
          <w:p>
            <w:pPr>
              <w:keepNext w:val="0"/>
              <w:spacing w:after="80" w:line="240" w:lineRule="auto"/>
            </w:pPr>
            <w:r>
              <w:rPr>
                <w:rFonts w:ascii="Arial" w:hAnsi="Arial"/>
                <w:sz w:val="20"/>
              </w:rPr>
            </w:r>
            <w:r>
              <w:rPr>
                <w:rFonts w:ascii="Arial" w:hAnsi="Arial"/>
                <w:b w:val="0"/>
                <w:sz w:val="20"/>
              </w:rPr>
              <w:t>Slide-by-slide presentation guidance.</w:t>
            </w:r>
          </w:p>
        </w:tc>
      </w:tr>
      <w:tr>
        <w:tc>
          <w:tcPr>
            <w:tcW w:type="dxa" w:w="4320"/>
            <w:vAlign w:val="center"/>
          </w:tcPr>
          <w:p>
            <w:pPr>
              <w:keepNext w:val="0"/>
              <w:spacing w:after="80" w:line="240" w:lineRule="auto"/>
            </w:pPr>
            <w:r>
              <w:rPr>
                <w:rFonts w:ascii="Arial" w:hAnsi="Arial"/>
                <w:sz w:val="20"/>
              </w:rPr>
            </w:r>
            <w:r>
              <w:rPr>
                <w:rFonts w:ascii="Arial" w:hAnsi="Arial"/>
                <w:b w:val="0"/>
                <w:sz w:val="20"/>
              </w:rPr>
              <w:t>MeetingNotes/Sprint1/UIABO_SPRINT_1_TEAM_TASKS.md</w:t>
            </w:r>
          </w:p>
        </w:tc>
        <w:tc>
          <w:tcPr>
            <w:tcW w:type="dxa" w:w="4320"/>
            <w:vAlign w:val="center"/>
          </w:tcPr>
          <w:p>
            <w:pPr>
              <w:keepNext w:val="0"/>
              <w:spacing w:after="80" w:line="240" w:lineRule="auto"/>
            </w:pPr>
            <w:r>
              <w:rPr>
                <w:rFonts w:ascii="Arial" w:hAnsi="Arial"/>
                <w:sz w:val="20"/>
              </w:rPr>
            </w:r>
            <w:r>
              <w:rPr>
                <w:rFonts w:ascii="Arial" w:hAnsi="Arial"/>
                <w:b w:val="0"/>
                <w:sz w:val="20"/>
              </w:rPr>
              <w:t>Team ownership, interface examples and completion checklist.</w:t>
            </w:r>
          </w:p>
        </w:tc>
      </w:tr>
    </w:tbl>
    <w:p>
      <w:pPr>
        <w:pStyle w:val="Heading3"/>
        <w:pageBreakBefore w:val="0"/>
      </w:pPr>
      <w:r>
        <w:rPr>
          <w:rFonts w:ascii="Arial" w:hAnsi="Arial"/>
          <w:b/>
          <w:color w:val="000000"/>
          <w:sz w:val="22"/>
        </w:rPr>
        <w:t>19.2.3 Later progress records and missing minute fields</w:t>
      </w:r>
    </w:p>
    <w:p>
      <w:pPr>
        <w:pageBreakBefore w:val="0"/>
        <w:jc w:val="both"/>
      </w:pPr>
      <w:r>
        <w:t>The September provider and app-integration reports are technical progress evidence, not formal meeting minutes. No meeting time, attendance, minute taker or approval has been invented from those reports. Complete these fields from actual team records before final submission.</w:t>
      </w:r>
    </w:p>
    <w:p>
      <w:pPr>
        <w:pStyle w:val="Heading2"/>
      </w:pPr>
      <w:r>
        <w:rPr>
          <w:rFonts w:ascii="Arial" w:hAnsi="Arial"/>
          <w:b/>
          <w:color w:val="000000"/>
          <w:sz w:val="24"/>
        </w:rPr>
        <w:t>19.3 References</w:t>
      </w:r>
    </w:p>
    <w:p>
      <w:pPr>
        <w:pageBreakBefore w:val="0"/>
        <w:jc w:val="both"/>
      </w:pPr>
      <w:r>
        <w:t>The existing PRD market-research references are retained with their original recorded access dates; that historical comparison was not re-audited during this documentation update. Technical references below were consulted for the current integration description.</w:t>
      </w:r>
    </w:p>
    <w:p w14:paraId="53BAADF1" w14:textId="77777777" w:rsidR="00687B49" w:rsidRDefault="0086714C">
      <w:pPr>
        <w:pStyle w:val="APAReference"/>
        <w:pageBreakBefore w:val="0"/>
        <w:spacing w:after="120" w:line="240" w:lineRule="auto"/>
        <w:ind w:left="720" w:hanging="720"/>
      </w:pPr>
      <w:r>
        <w:rPr>
          <w:rFonts w:ascii="Arial" w:hAnsi="Arial" w:eastAsia="Arial" w:cs="Arial"/>
          <w:sz w:val="21"/>
        </w:rPr>
        <w:t xml:space="preserve">Corney, D. (2025, February 11). </w:t>
      </w:r>
      <w:r>
        <w:rPr>
          <w:rFonts w:ascii="Arial" w:hAnsi="Arial" w:eastAsia="Arial" w:cs="Arial"/>
          <w:i/>
          <w:sz w:val="21"/>
        </w:rPr>
        <w:t>How AI can help fact checkers.</w:t>
      </w:r>
      <w:r>
        <w:rPr>
          <w:rFonts w:ascii="Arial" w:hAnsi="Arial" w:eastAsia="Arial" w:cs="Arial"/>
          <w:sz w:val="21"/>
        </w:rPr>
        <w:t xml:space="preserve"> Full Fact AI. </w:t>
      </w:r>
      <w:hyperlink r:id="rId9">
        <w:r>
          <w:rPr>
            <w:color w:val="0563C1"/>
            <w:u w:val="single"/>
          </w:rPr>
          <w:t>https://fullfact.ai/blog/how-ai-can-help-fact-checkers/</w:t>
        </w:r>
      </w:hyperlink>
    </w:p>
    <w:p w14:paraId="3BAFD87C" w14:textId="77777777" w:rsidR="00687B49" w:rsidRDefault="0086714C">
      <w:pPr>
        <w:pStyle w:val="APAReference"/>
        <w:pageBreakBefore w:val="0"/>
        <w:spacing w:after="120" w:line="240" w:lineRule="auto"/>
        <w:ind w:left="720" w:hanging="720"/>
      </w:pPr>
      <w:r>
        <w:rPr>
          <w:rFonts w:ascii="Arial" w:hAnsi="Arial" w:eastAsia="Arial" w:cs="Arial"/>
          <w:sz w:val="21"/>
        </w:rPr>
        <w:t xml:space="preserve">Digital for Life. (2025, July 8). </w:t>
      </w:r>
      <w:r>
        <w:rPr>
          <w:rFonts w:ascii="Arial" w:hAnsi="Arial" w:eastAsia="Arial" w:cs="Arial"/>
          <w:i/>
          <w:sz w:val="21"/>
        </w:rPr>
        <w:t>Seniors Go Digital: Digital skills for seniors.</w:t>
      </w:r>
      <w:r>
        <w:rPr>
          <w:rFonts w:ascii="Arial" w:hAnsi="Arial" w:eastAsia="Arial" w:cs="Arial"/>
          <w:sz w:val="21"/>
        </w:rPr>
        <w:t xml:space="preserve"> </w:t>
      </w:r>
      <w:hyperlink r:id="rId10">
        <w:r>
          <w:rPr>
            <w:color w:val="0563C1"/>
            <w:u w:val="single"/>
          </w:rPr>
          <w:t>https://www.digitalforlife.gov.sg/About/Our-Projects/Seniors-Go-Digital</w:t>
        </w:r>
      </w:hyperlink>
    </w:p>
    <w:p w14:paraId="6410D008" w14:textId="77777777" w:rsidR="00687B49" w:rsidRDefault="0086714C">
      <w:pPr>
        <w:pStyle w:val="APAReference"/>
        <w:pageBreakBefore w:val="0"/>
        <w:spacing w:after="120" w:line="240" w:lineRule="auto"/>
        <w:ind w:left="720" w:hanging="720"/>
      </w:pPr>
      <w:proofErr w:type="spellStart"/>
      <w:r>
        <w:rPr>
          <w:rFonts w:ascii="Arial" w:hAnsi="Arial" w:eastAsia="Arial" w:cs="Arial"/>
          <w:sz w:val="21"/>
        </w:rPr>
        <w:t>Factiverse</w:t>
      </w:r>
      <w:proofErr w:type="spellEnd"/>
      <w:r>
        <w:rPr>
          <w:rFonts w:ascii="Arial" w:hAnsi="Arial" w:eastAsia="Arial" w:cs="Arial"/>
          <w:sz w:val="21"/>
        </w:rPr>
        <w:t xml:space="preserve">. (n.d.-a). </w:t>
      </w:r>
      <w:proofErr w:type="spellStart"/>
      <w:r>
        <w:rPr>
          <w:rFonts w:ascii="Arial" w:hAnsi="Arial" w:eastAsia="Arial" w:cs="Arial"/>
          <w:i/>
          <w:sz w:val="21"/>
        </w:rPr>
        <w:t>Factiverse</w:t>
      </w:r>
      <w:proofErr w:type="spellEnd"/>
      <w:r>
        <w:rPr>
          <w:rFonts w:ascii="Arial" w:hAnsi="Arial" w:eastAsia="Arial" w:cs="Arial"/>
          <w:i/>
          <w:sz w:val="21"/>
        </w:rPr>
        <w:t xml:space="preserve"> API.</w:t>
      </w:r>
      <w:r>
        <w:rPr>
          <w:rFonts w:ascii="Arial" w:hAnsi="Arial" w:eastAsia="Arial" w:cs="Arial"/>
          <w:sz w:val="21"/>
        </w:rPr>
        <w:t xml:space="preserve"> Retrieved July 31, 2026, from </w:t>
      </w:r>
      <w:hyperlink r:id="rId11">
        <w:r>
          <w:rPr>
            <w:color w:val="0563C1"/>
            <w:u w:val="single"/>
          </w:rPr>
          <w:t>https://www.factiverse.ai/solutions/api</w:t>
        </w:r>
      </w:hyperlink>
    </w:p>
    <w:p w14:paraId="7409AB94" w14:textId="77777777" w:rsidR="00687B49" w:rsidRDefault="0086714C">
      <w:pPr>
        <w:pStyle w:val="APAReference"/>
        <w:pageBreakBefore w:val="0"/>
        <w:spacing w:after="120" w:line="240" w:lineRule="auto"/>
        <w:ind w:left="720" w:hanging="720"/>
      </w:pPr>
      <w:proofErr w:type="spellStart"/>
      <w:r>
        <w:rPr>
          <w:rFonts w:ascii="Arial" w:hAnsi="Arial" w:eastAsia="Arial" w:cs="Arial"/>
          <w:sz w:val="21"/>
        </w:rPr>
        <w:t>Factiverse</w:t>
      </w:r>
      <w:proofErr w:type="spellEnd"/>
      <w:r>
        <w:rPr>
          <w:rFonts w:ascii="Arial" w:hAnsi="Arial" w:eastAsia="Arial" w:cs="Arial"/>
          <w:sz w:val="21"/>
        </w:rPr>
        <w:t xml:space="preserve">. (n.d.-b). </w:t>
      </w:r>
      <w:proofErr w:type="spellStart"/>
      <w:r>
        <w:rPr>
          <w:rFonts w:ascii="Arial" w:hAnsi="Arial" w:eastAsia="Arial" w:cs="Arial"/>
          <w:i/>
          <w:sz w:val="21"/>
        </w:rPr>
        <w:t>Factiverse</w:t>
      </w:r>
      <w:proofErr w:type="spellEnd"/>
      <w:r>
        <w:rPr>
          <w:rFonts w:ascii="Arial" w:hAnsi="Arial" w:eastAsia="Arial" w:cs="Arial"/>
          <w:i/>
          <w:sz w:val="21"/>
        </w:rPr>
        <w:t xml:space="preserve"> Gather.</w:t>
      </w:r>
      <w:r>
        <w:rPr>
          <w:rFonts w:ascii="Arial" w:hAnsi="Arial" w:eastAsia="Arial" w:cs="Arial"/>
          <w:sz w:val="21"/>
        </w:rPr>
        <w:t xml:space="preserve"> Retrieved July 31, 2026, from </w:t>
      </w:r>
      <w:hyperlink r:id="rId12">
        <w:r>
          <w:rPr>
            <w:color w:val="0563C1"/>
            <w:u w:val="single"/>
          </w:rPr>
          <w:t>https://www.factiverse.ai/solutions/gather</w:t>
        </w:r>
      </w:hyperlink>
    </w:p>
    <w:p w14:paraId="32084374" w14:textId="77777777" w:rsidR="00687B49" w:rsidRDefault="0086714C">
      <w:pPr>
        <w:pStyle w:val="APAReference"/>
        <w:pageBreakBefore w:val="0"/>
        <w:spacing w:after="120" w:line="240" w:lineRule="auto"/>
        <w:ind w:left="720" w:hanging="720"/>
      </w:pPr>
      <w:proofErr w:type="spellStart"/>
      <w:r>
        <w:rPr>
          <w:rFonts w:ascii="Arial" w:hAnsi="Arial" w:eastAsia="Arial" w:cs="Arial"/>
          <w:sz w:val="21"/>
        </w:rPr>
        <w:t>Factiverse</w:t>
      </w:r>
      <w:proofErr w:type="spellEnd"/>
      <w:r>
        <w:rPr>
          <w:rFonts w:ascii="Arial" w:hAnsi="Arial" w:eastAsia="Arial" w:cs="Arial"/>
          <w:sz w:val="21"/>
        </w:rPr>
        <w:t xml:space="preserve">. (n.d.-c). </w:t>
      </w:r>
      <w:proofErr w:type="spellStart"/>
      <w:r>
        <w:rPr>
          <w:rFonts w:ascii="Arial" w:hAnsi="Arial" w:eastAsia="Arial" w:cs="Arial"/>
          <w:i/>
          <w:sz w:val="21"/>
        </w:rPr>
        <w:t>Factiverse</w:t>
      </w:r>
      <w:proofErr w:type="spellEnd"/>
      <w:r>
        <w:rPr>
          <w:rFonts w:ascii="Arial" w:hAnsi="Arial" w:eastAsia="Arial" w:cs="Arial"/>
          <w:i/>
          <w:sz w:val="21"/>
        </w:rPr>
        <w:t xml:space="preserve"> Live.</w:t>
      </w:r>
      <w:r>
        <w:rPr>
          <w:rFonts w:ascii="Arial" w:hAnsi="Arial" w:eastAsia="Arial" w:cs="Arial"/>
          <w:sz w:val="21"/>
        </w:rPr>
        <w:t xml:space="preserve"> Retrieved July 31, 2026, from </w:t>
      </w:r>
      <w:hyperlink r:id="rId13">
        <w:r>
          <w:rPr>
            <w:color w:val="0563C1"/>
            <w:u w:val="single"/>
          </w:rPr>
          <w:t>https://www.factiverse.ai/solutions/live</w:t>
        </w:r>
      </w:hyperlink>
    </w:p>
    <w:p w14:paraId="02108832" w14:textId="77777777" w:rsidR="00687B49" w:rsidRDefault="0086714C">
      <w:pPr>
        <w:pStyle w:val="APAReference"/>
        <w:pageBreakBefore w:val="0"/>
        <w:spacing w:after="120" w:line="240" w:lineRule="auto"/>
        <w:ind w:left="720" w:hanging="720"/>
      </w:pPr>
      <w:r>
        <w:rPr>
          <w:rFonts w:ascii="Arial" w:hAnsi="Arial" w:eastAsia="Arial" w:cs="Arial"/>
          <w:sz w:val="21"/>
        </w:rPr>
        <w:t xml:space="preserve">Full Fact AI. (n.d.). </w:t>
      </w:r>
      <w:r>
        <w:rPr>
          <w:rFonts w:ascii="Arial" w:hAnsi="Arial" w:eastAsia="Arial" w:cs="Arial"/>
          <w:i/>
          <w:sz w:val="21"/>
        </w:rPr>
        <w:t xml:space="preserve">How </w:t>
      </w:r>
      <w:proofErr w:type="gramStart"/>
      <w:r>
        <w:rPr>
          <w:rFonts w:ascii="Arial" w:hAnsi="Arial" w:eastAsia="Arial" w:cs="Arial"/>
          <w:i/>
          <w:sz w:val="21"/>
        </w:rPr>
        <w:t>we</w:t>
      </w:r>
      <w:proofErr w:type="gramEnd"/>
      <w:r>
        <w:rPr>
          <w:rFonts w:ascii="Arial" w:hAnsi="Arial" w:eastAsia="Arial" w:cs="Arial"/>
          <w:i/>
          <w:sz w:val="21"/>
        </w:rPr>
        <w:t xml:space="preserve"> do it.</w:t>
      </w:r>
      <w:r>
        <w:rPr>
          <w:rFonts w:ascii="Arial" w:hAnsi="Arial" w:eastAsia="Arial" w:cs="Arial"/>
          <w:sz w:val="21"/>
        </w:rPr>
        <w:t xml:space="preserve"> Retrieved July 31, 2026, from </w:t>
      </w:r>
      <w:hyperlink r:id="rId14">
        <w:r>
          <w:rPr>
            <w:color w:val="0563C1"/>
            <w:u w:val="single"/>
          </w:rPr>
          <w:t>https://fullfact.ai/product/</w:t>
        </w:r>
      </w:hyperlink>
    </w:p>
    <w:p w14:paraId="4F458B7A" w14:textId="77777777" w:rsidR="00687B49" w:rsidRDefault="0086714C">
      <w:pPr>
        <w:pStyle w:val="APAReference"/>
        <w:pageBreakBefore w:val="0"/>
        <w:spacing w:after="120" w:line="240" w:lineRule="auto"/>
        <w:ind w:left="720" w:hanging="720"/>
      </w:pPr>
      <w:r>
        <w:rPr>
          <w:rFonts w:ascii="Arial" w:hAnsi="Arial" w:eastAsia="Arial" w:cs="Arial"/>
          <w:sz w:val="21"/>
        </w:rPr>
        <w:t xml:space="preserve">Google. (2024, August 8). </w:t>
      </w:r>
      <w:r>
        <w:rPr>
          <w:rFonts w:ascii="Arial" w:hAnsi="Arial" w:eastAsia="Arial" w:cs="Arial"/>
          <w:i/>
          <w:sz w:val="21"/>
        </w:rPr>
        <w:t>Fact Check Tools API.</w:t>
      </w:r>
      <w:r>
        <w:rPr>
          <w:rFonts w:ascii="Arial" w:hAnsi="Arial" w:eastAsia="Arial" w:cs="Arial"/>
          <w:sz w:val="21"/>
        </w:rPr>
        <w:t xml:space="preserve"> Google for Developers. </w:t>
      </w:r>
      <w:hyperlink r:id="rId15">
        <w:r>
          <w:rPr>
            <w:color w:val="0563C1"/>
            <w:u w:val="single"/>
          </w:rPr>
          <w:t>https://developers.google.com/fact-check/tools/api/reference/rest</w:t>
        </w:r>
      </w:hyperlink>
    </w:p>
    <w:p w14:paraId="3A04B2B2" w14:textId="77777777" w:rsidR="00687B49" w:rsidRDefault="0086714C">
      <w:pPr>
        <w:pStyle w:val="APAReference"/>
        <w:pageBreakBefore w:val="0"/>
        <w:spacing w:after="120" w:line="240" w:lineRule="auto"/>
        <w:ind w:left="720" w:hanging="720"/>
      </w:pPr>
      <w:r>
        <w:rPr>
          <w:rFonts w:ascii="Arial" w:hAnsi="Arial" w:eastAsia="Arial" w:cs="Arial"/>
          <w:sz w:val="21"/>
        </w:rPr>
        <w:t xml:space="preserve">Johnston, C. (2025, October 1). </w:t>
      </w:r>
      <w:r>
        <w:rPr>
          <w:rFonts w:ascii="Arial" w:hAnsi="Arial" w:eastAsia="Arial" w:cs="Arial"/>
          <w:i/>
          <w:sz w:val="21"/>
        </w:rPr>
        <w:t>How we're using generative AI to transcribe challenging audio.</w:t>
      </w:r>
      <w:r>
        <w:rPr>
          <w:rFonts w:ascii="Arial" w:hAnsi="Arial" w:eastAsia="Arial" w:cs="Arial"/>
          <w:sz w:val="21"/>
        </w:rPr>
        <w:t xml:space="preserve"> Full Fact AI. </w:t>
      </w:r>
      <w:hyperlink r:id="rId16">
        <w:r>
          <w:rPr>
            <w:color w:val="0563C1"/>
            <w:u w:val="single"/>
          </w:rPr>
          <w:t>https://fullfact.ai/blog/using-generative-aI-to-transcribe-challenging-audio/</w:t>
        </w:r>
      </w:hyperlink>
    </w:p>
    <w:p w14:paraId="61482C4E" w14:textId="77777777" w:rsidR="00687B49" w:rsidRDefault="0086714C">
      <w:pPr>
        <w:pStyle w:val="APAReference"/>
        <w:pageBreakBefore w:val="0"/>
        <w:spacing w:after="120" w:line="240" w:lineRule="auto"/>
        <w:ind w:left="720" w:hanging="720"/>
      </w:pPr>
      <w:r>
        <w:rPr>
          <w:rFonts w:ascii="Arial" w:hAnsi="Arial" w:eastAsia="Arial" w:cs="Arial"/>
          <w:sz w:val="21"/>
        </w:rPr>
        <w:t xml:space="preserve">National Population and Talent Division. (2026, July 8). </w:t>
      </w:r>
      <w:r>
        <w:rPr>
          <w:rFonts w:ascii="Arial" w:hAnsi="Arial" w:eastAsia="Arial" w:cs="Arial"/>
          <w:i/>
          <w:sz w:val="21"/>
        </w:rPr>
        <w:t>Longevity.</w:t>
      </w:r>
      <w:r>
        <w:rPr>
          <w:rFonts w:ascii="Arial" w:hAnsi="Arial" w:eastAsia="Arial" w:cs="Arial"/>
          <w:sz w:val="21"/>
        </w:rPr>
        <w:t xml:space="preserve"> </w:t>
      </w:r>
      <w:hyperlink r:id="rId17">
        <w:r>
          <w:rPr>
            <w:color w:val="0563C1"/>
            <w:u w:val="single"/>
          </w:rPr>
          <w:t>https://www.population.gov.sg/our-population/population-trends/longevity/</w:t>
        </w:r>
      </w:hyperlink>
    </w:p>
    <w:p w14:paraId="28D89DC7" w14:textId="77777777" w:rsidR="00687B49" w:rsidRDefault="0086714C">
      <w:pPr>
        <w:pStyle w:val="APAReference"/>
        <w:pageBreakBefore w:val="0"/>
        <w:spacing w:after="120" w:line="240" w:lineRule="auto"/>
        <w:ind w:left="720" w:hanging="720"/>
      </w:pPr>
      <w:r>
        <w:rPr>
          <w:rFonts w:ascii="Arial" w:hAnsi="Arial" w:eastAsia="Arial" w:cs="Arial"/>
          <w:sz w:val="21"/>
        </w:rPr>
        <w:t xml:space="preserve">NewsGuard. (n.d.-a). </w:t>
      </w:r>
      <w:r>
        <w:rPr>
          <w:rFonts w:ascii="Arial" w:hAnsi="Arial" w:eastAsia="Arial" w:cs="Arial"/>
          <w:i/>
          <w:sz w:val="21"/>
        </w:rPr>
        <w:t>False Claim Fingerprints.</w:t>
      </w:r>
      <w:r>
        <w:rPr>
          <w:rFonts w:ascii="Arial" w:hAnsi="Arial" w:eastAsia="Arial" w:cs="Arial"/>
          <w:sz w:val="21"/>
        </w:rPr>
        <w:t xml:space="preserve"> Retrieved July 31, 2026, from </w:t>
      </w:r>
      <w:hyperlink r:id="rId18">
        <w:r>
          <w:rPr>
            <w:color w:val="0563C1"/>
            <w:u w:val="single"/>
          </w:rPr>
          <w:t>https://www.newsguardtech.com/solutions/false-claim-fingerprints/</w:t>
        </w:r>
      </w:hyperlink>
    </w:p>
    <w:p w14:paraId="1929B549" w14:textId="77777777" w:rsidR="00687B49" w:rsidRDefault="0086714C">
      <w:pPr>
        <w:pStyle w:val="APAReference"/>
        <w:pageBreakBefore w:val="0"/>
        <w:spacing w:after="120" w:line="240" w:lineRule="auto"/>
        <w:ind w:left="720" w:hanging="720"/>
      </w:pPr>
      <w:r>
        <w:rPr>
          <w:rFonts w:ascii="Arial" w:hAnsi="Arial" w:eastAsia="Arial" w:cs="Arial"/>
          <w:sz w:val="21"/>
        </w:rPr>
        <w:t xml:space="preserve">NewsGuard. (n.d.-b). </w:t>
      </w:r>
      <w:r>
        <w:rPr>
          <w:rFonts w:ascii="Arial" w:hAnsi="Arial" w:eastAsia="Arial" w:cs="Arial"/>
          <w:i/>
          <w:sz w:val="21"/>
        </w:rPr>
        <w:t>False Claim Fingerprints process.</w:t>
      </w:r>
      <w:r>
        <w:rPr>
          <w:rFonts w:ascii="Arial" w:hAnsi="Arial" w:eastAsia="Arial" w:cs="Arial"/>
          <w:sz w:val="21"/>
        </w:rPr>
        <w:t xml:space="preserve"> Retrieved July 31, 2026, from </w:t>
      </w:r>
      <w:hyperlink r:id="rId19">
        <w:r>
          <w:rPr>
            <w:color w:val="0563C1"/>
            <w:u w:val="single"/>
          </w:rPr>
          <w:t>https://www.newsguardtech.com/ratings/false-claim-fingerprints-process/</w:t>
        </w:r>
      </w:hyperlink>
    </w:p>
    <w:p w14:paraId="701C6AC3" w14:textId="77777777" w:rsidR="00687B49" w:rsidRDefault="0086714C">
      <w:pPr>
        <w:pStyle w:val="APAReference"/>
        <w:pageBreakBefore w:val="0"/>
        <w:spacing w:after="120" w:line="240" w:lineRule="auto"/>
        <w:ind w:left="720" w:hanging="720"/>
      </w:pPr>
      <w:r>
        <w:rPr>
          <w:rFonts w:ascii="Arial" w:hAnsi="Arial" w:eastAsia="Arial" w:cs="Arial"/>
          <w:sz w:val="21"/>
        </w:rPr>
        <w:t xml:space="preserve">NewsGuard. (n.d.-c). </w:t>
      </w:r>
      <w:r>
        <w:rPr>
          <w:rFonts w:ascii="Arial" w:hAnsi="Arial" w:eastAsia="Arial" w:cs="Arial"/>
          <w:i/>
          <w:sz w:val="21"/>
        </w:rPr>
        <w:t>News Reliability Ratings.</w:t>
      </w:r>
      <w:r>
        <w:rPr>
          <w:rFonts w:ascii="Arial" w:hAnsi="Arial" w:eastAsia="Arial" w:cs="Arial"/>
          <w:sz w:val="21"/>
        </w:rPr>
        <w:t xml:space="preserve"> Retrieved July 31, 2026, from </w:t>
      </w:r>
      <w:hyperlink r:id="rId20">
        <w:r>
          <w:rPr>
            <w:color w:val="0563C1"/>
            <w:u w:val="single"/>
          </w:rPr>
          <w:t>https://www.newsguardtech.com/solutions/news-reliability-ratings/</w:t>
        </w:r>
      </w:hyperlink>
    </w:p>
    <w:p w14:paraId="0D38B25B" w14:textId="77777777" w:rsidR="00687B49" w:rsidRDefault="0086714C">
      <w:pPr>
        <w:pStyle w:val="APAReference"/>
        <w:pageBreakBefore w:val="0"/>
        <w:spacing w:after="120" w:line="240" w:lineRule="auto"/>
        <w:ind w:left="720" w:hanging="720"/>
      </w:pPr>
      <w:r>
        <w:rPr>
          <w:rFonts w:ascii="Arial" w:hAnsi="Arial" w:eastAsia="Arial" w:cs="Arial"/>
          <w:sz w:val="21"/>
        </w:rPr>
        <w:t xml:space="preserve">Soon, C., Bala Krishnan, N., &amp; Goh, S. (2022, March 17). </w:t>
      </w:r>
      <w:r>
        <w:rPr>
          <w:rFonts w:ascii="Arial" w:hAnsi="Arial" w:eastAsia="Arial" w:cs="Arial"/>
          <w:i/>
          <w:sz w:val="21"/>
        </w:rPr>
        <w:t>Why are some people more immune to falsehoods and what can we learn from them?</w:t>
      </w:r>
      <w:r>
        <w:rPr>
          <w:rFonts w:ascii="Arial" w:hAnsi="Arial" w:eastAsia="Arial" w:cs="Arial"/>
          <w:sz w:val="21"/>
        </w:rPr>
        <w:t xml:space="preserve"> Institute of Policy Studies. </w:t>
      </w:r>
      <w:hyperlink r:id="rId21">
        <w:r>
          <w:rPr>
            <w:color w:val="0563C1"/>
            <w:u w:val="single"/>
          </w:rPr>
          <w:t>https://lkyspp.nus.edu.sg/ips/publications/details/commentary-why-are-some-people-more-immune-to-falsehoods-and-what-can-we-learn-from-them</w:t>
        </w:r>
      </w:hyperlink>
    </w:p>
    <w:p w14:paraId="531EF5BE" w14:textId="77777777" w:rsidR="00687B49" w:rsidRDefault="0086714C">
      <w:pPr>
        <w:pStyle w:val="APAReference"/>
        <w:pageBreakBefore w:val="0"/>
        <w:spacing w:after="120" w:line="240" w:lineRule="auto"/>
        <w:ind w:left="720" w:hanging="720"/>
      </w:pPr>
      <w:proofErr w:type="spellStart"/>
      <w:r>
        <w:rPr>
          <w:rFonts w:ascii="Arial" w:hAnsi="Arial" w:eastAsia="Arial" w:cs="Arial"/>
          <w:sz w:val="21"/>
        </w:rPr>
        <w:t>WeVerify</w:t>
      </w:r>
      <w:proofErr w:type="spellEnd"/>
      <w:r>
        <w:rPr>
          <w:rFonts w:ascii="Arial" w:hAnsi="Arial" w:eastAsia="Arial" w:cs="Arial"/>
          <w:sz w:val="21"/>
        </w:rPr>
        <w:t xml:space="preserve">. (n.d.-a). </w:t>
      </w:r>
      <w:r>
        <w:rPr>
          <w:rFonts w:ascii="Arial" w:hAnsi="Arial" w:eastAsia="Arial" w:cs="Arial"/>
          <w:i/>
          <w:sz w:val="21"/>
        </w:rPr>
        <w:t>Context aggregation and analysis.</w:t>
      </w:r>
      <w:r>
        <w:rPr>
          <w:rFonts w:ascii="Arial" w:hAnsi="Arial" w:eastAsia="Arial" w:cs="Arial"/>
          <w:sz w:val="21"/>
        </w:rPr>
        <w:t xml:space="preserve"> Retrieved July 31, 2026, from </w:t>
      </w:r>
      <w:hyperlink r:id="rId22">
        <w:r>
          <w:rPr>
            <w:color w:val="0563C1"/>
            <w:u w:val="single"/>
          </w:rPr>
          <w:t>https://weverify.eu/tools/caa/</w:t>
        </w:r>
      </w:hyperlink>
    </w:p>
    <w:p w14:paraId="65C66C10" w14:textId="77777777" w:rsidR="00687B49" w:rsidRDefault="0086714C">
      <w:pPr>
        <w:pStyle w:val="APAReference"/>
        <w:pageBreakBefore w:val="0"/>
        <w:spacing w:after="120" w:line="240" w:lineRule="auto"/>
        <w:ind w:left="720" w:hanging="720"/>
      </w:pPr>
      <w:proofErr w:type="spellStart"/>
      <w:r>
        <w:rPr>
          <w:rFonts w:ascii="Arial" w:hAnsi="Arial" w:eastAsia="Arial" w:cs="Arial"/>
          <w:sz w:val="21"/>
        </w:rPr>
        <w:t>WeVerify</w:t>
      </w:r>
      <w:proofErr w:type="spellEnd"/>
      <w:r>
        <w:rPr>
          <w:rFonts w:ascii="Arial" w:hAnsi="Arial" w:eastAsia="Arial" w:cs="Arial"/>
          <w:sz w:val="21"/>
        </w:rPr>
        <w:t xml:space="preserve">. (n.d.-b). </w:t>
      </w:r>
      <w:r>
        <w:rPr>
          <w:rFonts w:ascii="Arial" w:hAnsi="Arial" w:eastAsia="Arial" w:cs="Arial"/>
          <w:i/>
          <w:sz w:val="21"/>
        </w:rPr>
        <w:t>Image Verification Assistant.</w:t>
      </w:r>
      <w:r>
        <w:rPr>
          <w:rFonts w:ascii="Arial" w:hAnsi="Arial" w:eastAsia="Arial" w:cs="Arial"/>
          <w:sz w:val="21"/>
        </w:rPr>
        <w:t xml:space="preserve"> Retrieved July 31, 2026, from </w:t>
      </w:r>
      <w:hyperlink r:id="rId23">
        <w:r>
          <w:rPr>
            <w:color w:val="0563C1"/>
            <w:u w:val="single"/>
          </w:rPr>
          <w:t>https://weverify.eu/tools/image-verification-assistant/</w:t>
        </w:r>
      </w:hyperlink>
    </w:p>
    <w:p w14:paraId="082C8D30" w14:textId="77777777" w:rsidR="00687B49" w:rsidRDefault="0086714C">
      <w:pPr>
        <w:pStyle w:val="APAReference"/>
        <w:pageBreakBefore w:val="0"/>
        <w:spacing w:after="120" w:line="240" w:lineRule="auto"/>
        <w:ind w:left="720" w:hanging="720"/>
      </w:pPr>
      <w:proofErr w:type="spellStart"/>
      <w:r>
        <w:rPr>
          <w:rFonts w:ascii="Arial" w:hAnsi="Arial" w:eastAsia="Arial" w:cs="Arial"/>
          <w:sz w:val="21"/>
        </w:rPr>
        <w:t>WeVerify</w:t>
      </w:r>
      <w:proofErr w:type="spellEnd"/>
      <w:r>
        <w:rPr>
          <w:rFonts w:ascii="Arial" w:hAnsi="Arial" w:eastAsia="Arial" w:cs="Arial"/>
          <w:sz w:val="21"/>
        </w:rPr>
        <w:t xml:space="preserve">. (n.d.-c). </w:t>
      </w:r>
      <w:r>
        <w:rPr>
          <w:rFonts w:ascii="Arial" w:hAnsi="Arial" w:eastAsia="Arial" w:cs="Arial"/>
          <w:i/>
          <w:sz w:val="21"/>
        </w:rPr>
        <w:t>Tools.</w:t>
      </w:r>
      <w:r>
        <w:rPr>
          <w:rFonts w:ascii="Arial" w:hAnsi="Arial" w:eastAsia="Arial" w:cs="Arial"/>
          <w:sz w:val="21"/>
        </w:rPr>
        <w:t xml:space="preserve"> Retrieved July 31, 2026, from </w:t>
      </w:r>
      <w:hyperlink r:id="rId24">
        <w:r>
          <w:rPr>
            <w:color w:val="0563C1"/>
            <w:u w:val="single"/>
          </w:rPr>
          <w:t>https://weverify.eu/tools/</w:t>
        </w:r>
      </w:hyperlink>
    </w:p>
    <w:p w14:paraId="30312914" w14:textId="77777777" w:rsidR="00687B49" w:rsidRDefault="0086714C">
      <w:pPr>
        <w:pStyle w:val="APAReference"/>
        <w:pageBreakBefore w:val="0"/>
        <w:spacing w:after="120" w:line="240" w:lineRule="auto"/>
        <w:ind w:left="720" w:hanging="720"/>
      </w:pPr>
      <w:proofErr w:type="spellStart"/>
      <w:r>
        <w:rPr>
          <w:rFonts w:ascii="Arial" w:hAnsi="Arial" w:eastAsia="Arial" w:cs="Arial"/>
          <w:sz w:val="21"/>
        </w:rPr>
        <w:t>WeVerify</w:t>
      </w:r>
      <w:proofErr w:type="spellEnd"/>
      <w:r>
        <w:rPr>
          <w:rFonts w:ascii="Arial" w:hAnsi="Arial" w:eastAsia="Arial" w:cs="Arial"/>
          <w:sz w:val="21"/>
        </w:rPr>
        <w:t xml:space="preserve">. (n.d.-d). </w:t>
      </w:r>
      <w:r>
        <w:rPr>
          <w:rFonts w:ascii="Arial" w:hAnsi="Arial" w:eastAsia="Arial" w:cs="Arial"/>
          <w:i/>
          <w:sz w:val="21"/>
        </w:rPr>
        <w:t>Verification plugin.</w:t>
      </w:r>
      <w:r>
        <w:rPr>
          <w:rFonts w:ascii="Arial" w:hAnsi="Arial" w:eastAsia="Arial" w:cs="Arial"/>
          <w:sz w:val="21"/>
        </w:rPr>
        <w:t xml:space="preserve"> Retrieved July 31, 2026, from </w:t>
      </w:r>
      <w:hyperlink r:id="rId25">
        <w:r>
          <w:rPr>
            <w:color w:val="0563C1"/>
            <w:u w:val="single"/>
          </w:rPr>
          <w:t>https://weverify.eu/verification-plugin/</w:t>
        </w:r>
      </w:hyperlink>
    </w:p>
    <w:p w14:paraId="6901B868" w14:textId="77777777" w:rsidR="00687B49" w:rsidRDefault="0086714C">
      <w:pPr>
        <w:pStyle w:val="APAReference"/>
        <w:pageBreakBefore w:val="0"/>
        <w:spacing w:after="120" w:line="240" w:lineRule="auto"/>
        <w:ind w:left="720" w:hanging="720"/>
      </w:pPr>
      <w:r>
        <w:rPr>
          <w:rFonts w:ascii="Arial" w:hAnsi="Arial" w:eastAsia="Arial" w:cs="Arial"/>
          <w:sz w:val="21"/>
        </w:rPr>
        <w:t xml:space="preserve">World Wide Web Consortium. (2025, November 20). </w:t>
      </w:r>
      <w:r>
        <w:rPr>
          <w:rFonts w:ascii="Arial" w:hAnsi="Arial" w:eastAsia="Arial" w:cs="Arial"/>
          <w:i/>
          <w:sz w:val="21"/>
        </w:rPr>
        <w:t>Older users and web accessibility: Meeting the needs of ageing web users.</w:t>
      </w:r>
      <w:r>
        <w:rPr>
          <w:rFonts w:ascii="Arial" w:hAnsi="Arial" w:eastAsia="Arial" w:cs="Arial"/>
          <w:sz w:val="21"/>
        </w:rPr>
        <w:t xml:space="preserve"> </w:t>
      </w:r>
      <w:hyperlink r:id="rId26">
        <w:r>
          <w:rPr>
            <w:color w:val="0563C1"/>
            <w:u w:val="single"/>
          </w:rPr>
          <w:t>https://www.w3.org/WAI/older-users/</w:t>
        </w:r>
      </w:hyperlink>
    </w:p>
    <w:p>
      <w:pPr>
        <w:pStyle w:val="Heading3"/>
        <w:pageBreakBefore w:val="0"/>
      </w:pPr>
      <w:r>
        <w:rPr>
          <w:rFonts w:ascii="Arial" w:hAnsi="Arial"/>
          <w:b/>
          <w:color w:val="000000"/>
          <w:sz w:val="22"/>
        </w:rPr>
        <w:t>19.3.1 Implementation references</w:t>
      </w:r>
    </w:p>
    <w:p>
      <w:pPr>
        <w:pageBreakBefore w:val="0"/>
        <w:jc w:val="both"/>
      </w:pPr>
      <w:r>
        <w:t>Expo. SDK 57 reference. Accessed 7 September 2026. https://docs.expo.dev/versions/v57.0.0/</w:t>
      </w:r>
    </w:p>
    <w:p>
      <w:pPr>
        <w:pageBreakBefore w:val="0"/>
        <w:jc w:val="both"/>
      </w:pPr>
      <w:r>
        <w:t>Firebase. Verify ID tokens. Accessed 7 September 2026. https://firebase.google.com/docs/auth/admin/verify-id-tokens</w:t>
      </w:r>
    </w:p>
    <w:p>
      <w:pPr>
        <w:pageBreakBefore w:val="0"/>
        <w:jc w:val="both"/>
      </w:pPr>
      <w:r>
        <w:t>Firebase. Transactions and batched writes. Accessed 7 September 2026. https://firebase.google.com/docs/firestore/manage-data/transactions</w:t>
      </w:r>
    </w:p>
    <w:p>
      <w:pPr>
        <w:pageBreakBefore w:val="0"/>
        <w:jc w:val="both"/>
      </w:pPr>
      <w:r>
        <w:t>Ollama. Cloud. Accessed 7 September 2026. https://docs.ollama.com/cloud</w:t>
      </w:r>
    </w:p>
    <w:p>
      <w:pPr>
        <w:pageBreakBefore w:val="0"/>
        <w:jc w:val="both"/>
      </w:pPr>
      <w:r>
        <w:t>Google. Fact Check Tools API: claims.search. Accessed 7 September 2026. https://developers.google.com/fact-check/tools/api/reference/rest/v1alpha1/claims/search</w:t>
      </w:r>
    </w:p>
    <w:p>
      <w:pPr>
        <w:pageBreakBefore w:val="0"/>
        <w:jc w:val="both"/>
      </w:pPr>
      <w:r>
        <w:t>Tavily. Search API. Accessed 7 September 2026. https://docs.tavily.com/documentation/api-reference/endpoint/search</w:t>
      </w:r>
    </w:p>
    <w:p>
      <w:pPr>
        <w:pageBreakBefore w:val="0"/>
        <w:jc w:val="both"/>
      </w:pPr>
      <w:r>
        <w:t>Tavily. Extract API. Accessed 7 September 2026. https://docs.tavily.com/documentation/api-reference/endpoint/extract</w:t>
      </w:r>
    </w:p>
    <w:p>
      <w:pPr>
        <w:pStyle w:val="Heading3"/>
        <w:pageBreakBefore w:val="0"/>
      </w:pPr>
      <w:r>
        <w:rPr>
          <w:rFonts w:ascii="Arial" w:hAnsi="Arial"/>
          <w:b/>
          <w:color w:val="000000"/>
          <w:sz w:val="22"/>
        </w:rPr>
        <w:t>19.3.2 Internal evidence and submission references</w:t>
      </w:r>
    </w:p>
    <w:p>
      <w:pPr>
        <w:pageBreakBefore w:val="0"/>
        <w:jc w:val="both"/>
      </w:pPr>
      <w:r>
        <w:t>PRD/FYP-26-S3-30_PRD.docx; URS/FYP-26-S3-30_URS.pdf; TDM/FYP-26-S3-30_TDM.pdf.</w:t>
      </w:r>
    </w:p>
    <w:p>
      <w:pPr>
        <w:pageBreakBefore w:val="0"/>
        <w:jc w:val="both"/>
      </w:pPr>
      <w:r>
        <w:t>MeetingNotes/team_meeting_brief_2026-08-13.md and Sprint1/UIABO_SPRINT_1_TEAM_TASKS.md.</w:t>
      </w:r>
    </w:p>
    <w:p>
      <w:pPr>
        <w:pageBreakBefore w:val="0"/>
        <w:jc w:val="both"/>
      </w:pPr>
      <w:r>
        <w:t>uiabo/evaluation/reports/matthew_claim_evaluation.md and matthew_claim_live_2026-09-06.json.</w:t>
      </w:r>
    </w:p>
    <w:p>
      <w:pPr>
        <w:pageBreakBefore w:val="0"/>
        <w:jc w:val="both"/>
      </w:pPr>
      <w:r>
        <w:t>uiabo/evaluation/reports/chu_retrieval_evaluation.md and text_pipeline_live_2026-09-07.json.</w:t>
      </w:r>
    </w:p>
    <w:p>
      <w:pPr>
        <w:pageBreakBefore w:val="0"/>
        <w:jc w:val="both"/>
      </w:pPr>
      <w:r>
        <w:t>uiabo/evaluation/reports/app-integration/README.md, firestore-live.json and Android captures.</w:t>
      </w:r>
    </w:p>
    <w:p>
      <w:pPr>
        <w:pageBreakBefore w:val="0"/>
        <w:jc w:val="both"/>
      </w:pPr>
      <w:r>
        <w:t>uiabo/evaluation/trusted_sources/README.md and pipeline component READMEs.</w:t>
      </w:r>
    </w:p>
    <w:p>
      <w:pPr>
        <w:pageBreakBefore w:val="0"/>
        <w:jc w:val="both"/>
      </w:pPr>
      <w:r>
        <w:t>Submission1/PUM/FYP-26-S3-30_PrelimUserManual_DRAFT.docx and PUM_MISSING_INFORMATION.md.</w:t>
      </w:r>
    </w:p>
    <w:p>
      <w:pPr>
        <w:pStyle w:val="Heading2"/>
      </w:pPr>
      <w:r>
        <w:rPr>
          <w:rFonts w:ascii="Arial" w:hAnsi="Arial"/>
          <w:b/>
          <w:color w:val="000000"/>
          <w:sz w:val="24"/>
        </w:rPr>
        <w:t>19.4 Project Website and Submission Status</w:t>
      </w:r>
    </w:p>
    <w:p>
      <w:pPr>
        <w:pageBreakBefore w:val="0"/>
        <w:jc w:val="both"/>
      </w:pPr>
      <w:r>
        <w:t>No deployed UIABO project website or public operational portal has been supplied. The current deliverables are the local Android prototype, source repository and submission documents. A website URL, hosting record and screenshots remain pending if a website is required.</w:t>
      </w:r>
    </w:p>
    <w:p>
      <w:pPr>
        <w:jc w:val="both"/>
      </w:pPr>
      <w:r>
        <w:t>This Word revision is dated 8 September 2026 and follows the supplied sample’s report structure. The previous PDF has intentionally not been regenerated. The structural crosswalk is in PTD_UPDATE_SUMMARY.md, and remaining evidence is recorded in PTD_MISSING_INFORMATION.md.</w:t>
      </w:r>
    </w:p>
    <w:sectPr w:rsidR="00FC693F" w:rsidRPr="0006063C" w:rsidSect="00034616">
      <w:headerReference w:type="default" r:id="rId27"/>
      <w:footerReference w:type="default" r:id="rId28"/>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 w:type="paragraph" w:customStyle="1" w:styleId="APAReference">
    <w:name w:val="APA Reference"/>
    <w:pPr>
      <w:spacing w:after="140"/>
      <w:ind w:left="720" w:hanging="720"/>
    </w:pPr>
    <w:rPr>
      <w:rFonts w:ascii="Arial" w:eastAsia="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ullfact.ai/blog/how-ai-can-help-fact-checkers/" TargetMode="External"/><Relationship Id="rId10" Type="http://schemas.openxmlformats.org/officeDocument/2006/relationships/hyperlink" Target="https://www.digitalforlife.gov.sg/About/Our-Projects/Seniors-Go-Digital" TargetMode="External"/><Relationship Id="rId11" Type="http://schemas.openxmlformats.org/officeDocument/2006/relationships/hyperlink" Target="https://www.factiverse.ai/solutions/api" TargetMode="External"/><Relationship Id="rId12" Type="http://schemas.openxmlformats.org/officeDocument/2006/relationships/hyperlink" Target="https://www.factiverse.ai/solutions/gather" TargetMode="External"/><Relationship Id="rId13" Type="http://schemas.openxmlformats.org/officeDocument/2006/relationships/hyperlink" Target="https://www.factiverse.ai/solutions/live" TargetMode="External"/><Relationship Id="rId14" Type="http://schemas.openxmlformats.org/officeDocument/2006/relationships/hyperlink" Target="https://fullfact.ai/product/" TargetMode="External"/><Relationship Id="rId15" Type="http://schemas.openxmlformats.org/officeDocument/2006/relationships/hyperlink" Target="https://developers.google.com/fact-check/tools/api/reference/rest" TargetMode="External"/><Relationship Id="rId16" Type="http://schemas.openxmlformats.org/officeDocument/2006/relationships/hyperlink" Target="https://fullfact.ai/blog/using-generative-aI-to-transcribe-challenging-audio/" TargetMode="External"/><Relationship Id="rId17" Type="http://schemas.openxmlformats.org/officeDocument/2006/relationships/hyperlink" Target="https://www.population.gov.sg/our-population/population-trends/longevity/" TargetMode="External"/><Relationship Id="rId18" Type="http://schemas.openxmlformats.org/officeDocument/2006/relationships/hyperlink" Target="https://www.newsguardtech.com/solutions/false-claim-fingerprints/" TargetMode="External"/><Relationship Id="rId19" Type="http://schemas.openxmlformats.org/officeDocument/2006/relationships/hyperlink" Target="https://www.newsguardtech.com/ratings/false-claim-fingerprints-process/" TargetMode="External"/><Relationship Id="rId20" Type="http://schemas.openxmlformats.org/officeDocument/2006/relationships/hyperlink" Target="https://www.newsguardtech.com/solutions/news-reliability-ratings/" TargetMode="External"/><Relationship Id="rId21" Type="http://schemas.openxmlformats.org/officeDocument/2006/relationships/hyperlink" Target="https://lkyspp.nus.edu.sg/ips/publications/details/commentary-why-are-some-people-more-immune-to-falsehoods-and-what-can-we-learn-from-them" TargetMode="External"/><Relationship Id="rId22" Type="http://schemas.openxmlformats.org/officeDocument/2006/relationships/hyperlink" Target="https://weverify.eu/tools/caa/" TargetMode="External"/><Relationship Id="rId23" Type="http://schemas.openxmlformats.org/officeDocument/2006/relationships/hyperlink" Target="https://weverify.eu/tools/image-verification-assistant/" TargetMode="External"/><Relationship Id="rId24" Type="http://schemas.openxmlformats.org/officeDocument/2006/relationships/hyperlink" Target="https://weverify.eu/tools/" TargetMode="External"/><Relationship Id="rId25" Type="http://schemas.openxmlformats.org/officeDocument/2006/relationships/hyperlink" Target="https://weverify.eu/verification-plugin/" TargetMode="External"/><Relationship Id="rId26" Type="http://schemas.openxmlformats.org/officeDocument/2006/relationships/hyperlink" Target="https://www.w3.org/WAI/older-users/" TargetMode="External"/><Relationship Id="rId27" Type="http://schemas.openxmlformats.org/officeDocument/2006/relationships/header" Target="header1.xm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