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p>
    <w:p>
      <w:pPr>
        <w:spacing w:after="8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A7A4A"/>
          <w:sz w:val="72"/>
          <w:szCs w:val="72"/>
        </w:rPr>
        <w:t xml:space="preserve">LASAGNA</w:t>
      </w:r>
    </w:p>
    <w:p>
      <w:pPr>
        <w:spacing w:after="200" w:before="0"/>
        <w:jc w:val="center"/>
      </w:pPr>
      <w:r>
        <w:rPr>
          <w:rFonts w:ascii="Arial" w:cs="Arial" w:eastAsia="Arial" w:hAnsi="Arial"/>
          <w:color w:val="6B7280"/>
          <w:sz w:val="32"/>
          <w:szCs w:val="32"/>
        </w:rPr>
        <w:t xml:space="preserve">AI Financial Advisor for Everyone</w:t>
      </w:r>
    </w:p>
    <w:p>
      <w:pPr>
        <w:spacing w:after="80" w:before="0"/>
        <w:jc w:val="center"/>
      </w:pPr>
      <w:r>
        <w:rPr>
          <w:rFonts w:ascii="Arial" w:cs="Arial" w:eastAsia="Arial" w:hAnsi="Arial"/>
          <w:color w:val="6B7280"/>
          <w:sz w:val="22"/>
          <w:szCs w:val="22"/>
        </w:rPr>
        <w:t xml:space="preserve">Product Specification  ·  v1.0</w:t>
      </w:r>
    </w:p>
    <w:p>
      <w:pPr>
        <w:spacing w:after="0" w:before="0"/>
        <w:jc w:val="center"/>
      </w:pPr>
      <w:r>
        <w:rPr>
          <w:rFonts w:ascii="Arial" w:cs="Arial" w:eastAsia="Arial" w:hAnsi="Arial"/>
          <w:color w:val="6B7280"/>
          <w:sz w:val="22"/>
          <w:szCs w:val="22"/>
        </w:rPr>
        <w:t xml:space="preserve">April 2026</w:t>
      </w:r>
    </w:p>
    <w:p>
      <w:pPr>
        <w:spacing w:after="48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1. Executive Summary</w:t>
      </w:r>
    </w:p>
    <w:p>
      <w:pPr>
        <w:spacing w:after="80" w:before="80"/>
      </w:pPr>
      <w:r>
        <w:rPr>
          <w:rFonts w:ascii="Arial" w:cs="Arial" w:eastAsia="Arial" w:hAnsi="Arial"/>
          <w:color w:val="1A1A2E"/>
          <w:sz w:val="22"/>
          <w:szCs w:val="22"/>
        </w:rPr>
        <w:t xml:space="preserve">Lasagna is a conversational AI financial advisor built for the 57% of Americans who have no access to professional financial guidance. Whether someone is drowning in credit card debt or sitting on a growing investment portfolio they don't know how to manage, Lasagna meets them where they are — no minimum account balance, no $300/hour advisor fee, no jargon.</w:t>
      </w:r>
    </w:p>
    <w:p>
      <w:pPr>
        <w:spacing w:after="120" w:before="0"/>
      </w:pPr>
    </w:p>
    <w:p>
      <w:pPr>
        <w:spacing w:after="80" w:before="80"/>
      </w:pPr>
      <w:r>
        <w:rPr>
          <w:rFonts w:ascii="Arial" w:cs="Arial" w:eastAsia="Arial" w:hAnsi="Arial"/>
          <w:color w:val="1A1A2E"/>
          <w:sz w:val="22"/>
          <w:szCs w:val="22"/>
        </w:rPr>
        <w:t xml:space="preserve">The name reflects the product philosophy: great financial health, like great lasagna, is built in layers. Debt payoff. Emergency savings. Tax optimization. Investment growth. Risk management. Each layer makes the next one possible, and Lasagna guides users through them one at a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60" w:before="0"/>
            </w:pPr>
            <w:r>
              <w:rPr>
                <w:rFonts w:ascii="Arial" w:cs="Arial" w:eastAsia="Arial" w:hAnsi="Arial"/>
                <w:b/>
                <w:bCs/>
                <w:color w:val="1A7A4A"/>
                <w:sz w:val="20"/>
                <w:szCs w:val="20"/>
              </w:rPr>
              <w:t xml:space="preserve">Core Promise</w:t>
            </w:r>
          </w:p>
          <w:p>
            <w:pPr>
              <w:spacing w:after="0" w:before="0"/>
            </w:pPr>
            <w:r>
              <w:rPr>
                <w:rFonts w:ascii="Arial" w:cs="Arial" w:eastAsia="Arial" w:hAnsi="Arial"/>
                <w:color w:val="1A1A2E"/>
                <w:sz w:val="20"/>
                <w:szCs w:val="20"/>
              </w:rPr>
              <w:t xml:space="preserve">Lasagna gives every person — regardless of income, net worth, or financial literacy — the same quality of financial guidance previously reserved for the wealthy.</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2. The Problem</w:t>
      </w:r>
    </w:p>
    <w:p>
      <w:pPr>
        <w:pStyle w:val="Heading2"/>
        <w:spacing w:after="120" w:before="320"/>
      </w:pPr>
      <w:r>
        <w:rPr>
          <w:rFonts w:ascii="Arial" w:cs="Arial" w:eastAsia="Arial" w:hAnsi="Arial"/>
          <w:b/>
          <w:bCs/>
          <w:color w:val="1A1A2E"/>
          <w:sz w:val="26"/>
          <w:szCs w:val="26"/>
        </w:rPr>
        <w:t xml:space="preserve">2.1 The Advice Gap</w:t>
      </w:r>
    </w:p>
    <w:p>
      <w:pPr>
        <w:spacing w:after="80" w:before="80"/>
      </w:pPr>
      <w:r>
        <w:rPr>
          <w:rFonts w:ascii="Arial" w:cs="Arial" w:eastAsia="Arial" w:hAnsi="Arial"/>
          <w:color w:val="1A1A2E"/>
          <w:sz w:val="22"/>
          <w:szCs w:val="22"/>
        </w:rPr>
        <w:t xml:space="preserve">Access to a qualified financial advisor is effectively gated behind wealth. Traditional financial advisors typically require $250K–$1M in investable assets to take on a client, charge 1% AUM annually, and bill $200–$400/hour for consultations. This leaves the vast majority of Americans — particularly those who need help most — completely unserved.</w:t>
      </w:r>
    </w:p>
    <w:p>
      <w:pPr>
        <w:spacing w:after="120" w:before="0"/>
      </w:pPr>
    </w:p>
    <w:p>
      <w:pPr>
        <w:spacing w:after="80" w:before="80"/>
      </w:pPr>
      <w:r>
        <w:rPr>
          <w:rFonts w:ascii="Arial" w:cs="Arial" w:eastAsia="Arial" w:hAnsi="Arial"/>
          <w:color w:val="1A1A2E"/>
          <w:sz w:val="22"/>
          <w:szCs w:val="22"/>
        </w:rPr>
        <w:t xml:space="preserve">The consequences are severe and well-documented:</w:t>
      </w:r>
    </w:p>
    <w:p>
      <w:pPr>
        <w:pStyle w:val="ListParagraph"/>
        <w:numPr>
          <w:ilvl w:val="0"/>
          <w:numId w:val="2"/>
        </w:numPr>
        <w:spacing w:after="60" w:before="60"/>
      </w:pPr>
      <w:r>
        <w:rPr>
          <w:rFonts w:ascii="Arial" w:cs="Arial" w:eastAsia="Arial" w:hAnsi="Arial"/>
          <w:color w:val="1A1A2E"/>
          <w:sz w:val="22"/>
          <w:szCs w:val="22"/>
        </w:rPr>
        <w:t xml:space="preserve">67% of Americans carry revolving credit card debt, often paying 22–29% APR while their savings earn 0.5%.</w:t>
      </w:r>
    </w:p>
    <w:p>
      <w:pPr>
        <w:pStyle w:val="ListParagraph"/>
        <w:numPr>
          <w:ilvl w:val="0"/>
          <w:numId w:val="2"/>
        </w:numPr>
        <w:spacing w:after="60" w:before="60"/>
      </w:pPr>
      <w:r>
        <w:rPr>
          <w:rFonts w:ascii="Arial" w:cs="Arial" w:eastAsia="Arial" w:hAnsi="Arial"/>
          <w:color w:val="1A1A2E"/>
          <w:sz w:val="22"/>
          <w:szCs w:val="22"/>
        </w:rPr>
        <w:t xml:space="preserve">Only 39% of adults could cover a $1,000 emergency from savings.</w:t>
      </w:r>
    </w:p>
    <w:p>
      <w:pPr>
        <w:pStyle w:val="ListParagraph"/>
        <w:numPr>
          <w:ilvl w:val="0"/>
          <w:numId w:val="2"/>
        </w:numPr>
        <w:spacing w:after="60" w:before="60"/>
      </w:pPr>
      <w:r>
        <w:rPr>
          <w:rFonts w:ascii="Arial" w:cs="Arial" w:eastAsia="Arial" w:hAnsi="Arial"/>
          <w:color w:val="1A1A2E"/>
          <w:sz w:val="22"/>
          <w:szCs w:val="22"/>
        </w:rPr>
        <w:t xml:space="preserve">55% of Americans have no retirement savings at all.</w:t>
      </w:r>
    </w:p>
    <w:p>
      <w:pPr>
        <w:pStyle w:val="ListParagraph"/>
        <w:numPr>
          <w:ilvl w:val="0"/>
          <w:numId w:val="2"/>
        </w:numPr>
        <w:spacing w:after="60" w:before="60"/>
      </w:pPr>
      <w:r>
        <w:rPr>
          <w:rFonts w:ascii="Arial" w:cs="Arial" w:eastAsia="Arial" w:hAnsi="Arial"/>
          <w:color w:val="1A1A2E"/>
          <w:sz w:val="22"/>
          <w:szCs w:val="22"/>
        </w:rPr>
        <w:t xml:space="preserve">Tax-advantaged accounts (HSAs, backdoor Roths, I-bonds) go unused by those who would benefit most.</w:t>
      </w:r>
    </w:p>
    <w:p>
      <w:pPr>
        <w:spacing w:after="120" w:before="0"/>
      </w:pPr>
    </w:p>
    <w:p>
      <w:pPr>
        <w:pStyle w:val="Heading2"/>
        <w:spacing w:after="120" w:before="320"/>
      </w:pPr>
      <w:r>
        <w:rPr>
          <w:rFonts w:ascii="Arial" w:cs="Arial" w:eastAsia="Arial" w:hAnsi="Arial"/>
          <w:b/>
          <w:bCs/>
          <w:color w:val="1A1A2E"/>
          <w:sz w:val="26"/>
          <w:szCs w:val="26"/>
        </w:rPr>
        <w:t xml:space="preserve">2.2 Existing Solutions Fall Short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Solution Type</w:t>
            </w:r>
          </w:p>
        </w:tc>
        <w:tc>
          <w:tcPr>
            <w:tcW w:type="dxa" w:w="38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8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7A4A"/>
                <w:sz w:val="20"/>
                <w:szCs w:val="20"/>
              </w:rPr>
              <w:t xml:space="preserve">Robo-advisors</w:t>
            </w:r>
          </w:p>
        </w:tc>
        <w:tc>
          <w:tcPr>
            <w:tcW w:type="dxa" w:w="3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Only handle investing; ignore debt, taxes, and holistic planning</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Betterment, Wealthfront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Budgeting apps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Track spending but give no actionable financial advice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Mint, YNAB</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7A4A"/>
                <w:sz w:val="20"/>
                <w:szCs w:val="20"/>
              </w:rPr>
              <w:t xml:space="preserve">Bank apps</w:t>
            </w:r>
          </w:p>
        </w:tc>
        <w:tc>
          <w:tcPr>
            <w:tcW w:type="dxa" w:w="3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Generic, product-selling, not personalized advice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Chase, BofA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7A4A"/>
                <w:sz w:val="20"/>
                <w:szCs w:val="20"/>
              </w:rPr>
              <w:t xml:space="preserve">Financial subreddits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Community-driven, inconsistent, no personalization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r/personalfinance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7A4A"/>
                <w:sz w:val="20"/>
                <w:szCs w:val="20"/>
              </w:rPr>
              <w:t xml:space="preserve">Human advisors</w:t>
            </w:r>
          </w:p>
        </w:tc>
        <w:tc>
          <w:tcPr>
            <w:tcW w:type="dxa" w:w="3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Expensive, inaccessible, require asset minimums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Fidelity, Schwab</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3. Target Users</w:t>
      </w:r>
    </w:p>
    <w:p>
      <w:pPr>
        <w:spacing w:after="80" w:before="80"/>
      </w:pPr>
      <w:r>
        <w:rPr>
          <w:rFonts w:ascii="Arial" w:cs="Arial" w:eastAsia="Arial" w:hAnsi="Arial"/>
          <w:color w:val="1A1A2E"/>
          <w:sz w:val="22"/>
          <w:szCs w:val="22"/>
        </w:rPr>
        <w:t xml:space="preserve">Lasagna serves users across a spectrum of financial situations. Three primary personas define the initial target:</w:t>
      </w:r>
    </w:p>
    <w:p>
      <w:pPr>
        <w:spacing w:after="120" w:before="0"/>
      </w:pPr>
    </w:p>
    <w:p>
      <w:pPr>
        <w:pStyle w:val="Heading3"/>
        <w:spacing w:after="100" w:before="240"/>
      </w:pPr>
      <w:r>
        <w:rPr>
          <w:rFonts w:ascii="Arial" w:cs="Arial" w:eastAsia="Arial" w:hAnsi="Arial"/>
          <w:b/>
          <w:bCs/>
          <w:color w:val="1A7A4A"/>
          <w:sz w:val="22"/>
          <w:szCs w:val="22"/>
        </w:rPr>
        <w:t xml:space="preserve">Persona 1 — The Debt Juggler</w:t>
      </w:r>
    </w:p>
    <w:p>
      <w:pPr>
        <w:spacing w:after="80" w:before="80"/>
      </w:pPr>
      <w:r>
        <w:rPr>
          <w:rFonts w:ascii="Arial" w:cs="Arial" w:eastAsia="Arial" w:hAnsi="Arial"/>
          <w:color w:val="1A1A2E"/>
          <w:sz w:val="22"/>
          <w:szCs w:val="22"/>
        </w:rPr>
        <w:t xml:space="preserve">Sarah, 29, works in retail. She has $18K in credit card debt across 4 cards, a $12K car loan, and $28K in student loans. She makes $52K/year, lives paycheck to paycheck, and feels overwhelmed every time she thinks about money. She needs a clear, judgment-free plan.</w:t>
      </w:r>
    </w:p>
    <w:p>
      <w:pPr>
        <w:spacing w:after="120" w:before="0"/>
      </w:pPr>
    </w:p>
    <w:p>
      <w:pPr>
        <w:pStyle w:val="Heading3"/>
        <w:spacing w:after="100" w:before="240"/>
      </w:pPr>
      <w:r>
        <w:rPr>
          <w:rFonts w:ascii="Arial" w:cs="Arial" w:eastAsia="Arial" w:hAnsi="Arial"/>
          <w:b/>
          <w:bCs/>
          <w:color w:val="1A7A4A"/>
          <w:sz w:val="22"/>
          <w:szCs w:val="22"/>
        </w:rPr>
        <w:t xml:space="preserve">Persona 2 — The First-Time Investor</w:t>
      </w:r>
    </w:p>
    <w:p>
      <w:pPr>
        <w:spacing w:after="80" w:before="80"/>
      </w:pPr>
      <w:r>
        <w:rPr>
          <w:rFonts w:ascii="Arial" w:cs="Arial" w:eastAsia="Arial" w:hAnsi="Arial"/>
          <w:color w:val="1A1A2E"/>
          <w:sz w:val="22"/>
          <w:szCs w:val="22"/>
        </w:rPr>
        <w:t xml:space="preserve">Marcus, 34, recently paid off his student loans and has $800/month freed up. He's heard he should invest but doesn't know where to start — index funds vs. individual stocks, Roth vs. traditional IRA, brokerage vs. 401(k). He's paralyzed by choice and afraid of making a costly mistake.</w:t>
      </w:r>
    </w:p>
    <w:p>
      <w:pPr>
        <w:spacing w:after="120" w:before="0"/>
      </w:pPr>
    </w:p>
    <w:p>
      <w:pPr>
        <w:pStyle w:val="Heading3"/>
        <w:spacing w:after="100" w:before="240"/>
      </w:pPr>
      <w:r>
        <w:rPr>
          <w:rFonts w:ascii="Arial" w:cs="Arial" w:eastAsia="Arial" w:hAnsi="Arial"/>
          <w:b/>
          <w:bCs/>
          <w:color w:val="1A7A4A"/>
          <w:sz w:val="22"/>
          <w:szCs w:val="22"/>
        </w:rPr>
        <w:t xml:space="preserve">Persona 3 — The Growing Net Worth Owner</w:t>
      </w:r>
    </w:p>
    <w:p>
      <w:pPr>
        <w:spacing w:after="80" w:before="80"/>
      </w:pPr>
      <w:r>
        <w:rPr>
          <w:rFonts w:ascii="Arial" w:cs="Arial" w:eastAsia="Arial" w:hAnsi="Arial"/>
          <w:color w:val="1A1A2E"/>
          <w:sz w:val="22"/>
          <w:szCs w:val="22"/>
        </w:rPr>
        <w:t xml:space="preserve">Priya, 42, earns $190K as an engineer. She has a $450K portfolio across a 401(k), a brokerage account, and some individual tech stocks that have grown substantially. She's worried about concentration risk, doesn't know how to think about sequence of returns as she approaches her target retirement age, and pays too much in taxes. She can't justify a traditional advisor's AUM fee but needs more than a robo-advisor.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60" w:before="0"/>
            </w:pPr>
            <w:r>
              <w:rPr>
                <w:rFonts w:ascii="Arial" w:cs="Arial" w:eastAsia="Arial" w:hAnsi="Arial"/>
                <w:b/>
                <w:bCs/>
                <w:color w:val="1A7A4A"/>
                <w:sz w:val="20"/>
                <w:szCs w:val="20"/>
              </w:rPr>
              <w:t xml:space="preserve">Key Insight</w:t>
            </w:r>
          </w:p>
          <w:p>
            <w:pPr>
              <w:spacing w:after="0" w:before="0"/>
            </w:pPr>
            <w:r>
              <w:rPr>
                <w:rFonts w:ascii="Arial" w:cs="Arial" w:eastAsia="Arial" w:hAnsi="Arial"/>
                <w:color w:val="1A1A2E"/>
                <w:sz w:val="20"/>
                <w:szCs w:val="20"/>
              </w:rPr>
              <w:t xml:space="preserve">These users share one thing: they make consequential financial decisions every week with no professional guidance. Lasagna is the advisor in their pocket.</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4. Core Feature Modules</w:t>
      </w:r>
    </w:p>
    <w:p>
      <w:pPr>
        <w:spacing w:after="80" w:before="80"/>
      </w:pPr>
      <w:r>
        <w:rPr>
          <w:rFonts w:ascii="Arial" w:cs="Arial" w:eastAsia="Arial" w:hAnsi="Arial"/>
          <w:color w:val="1A1A2E"/>
          <w:sz w:val="22"/>
          <w:szCs w:val="22"/>
        </w:rPr>
        <w:t xml:space="preserve">Lasagna is organized into four interconnected modules. Each module can operate independently, but the product's differentiation comes from how they work together — a holistic financial picture that evolves with the user.</w:t>
      </w:r>
    </w:p>
    <w:p>
      <w:pPr>
        <w:spacing w:after="120" w:before="0"/>
      </w:pPr>
    </w:p>
    <w:p>
      <w:pPr>
        <w:pStyle w:val="Heading2"/>
        <w:spacing w:after="120" w:before="320"/>
      </w:pPr>
      <w:r>
        <w:rPr>
          <w:rFonts w:ascii="Arial" w:cs="Arial" w:eastAsia="Arial" w:hAnsi="Arial"/>
          <w:b/>
          <w:bCs/>
          <w:color w:val="1A1A2E"/>
          <w:sz w:val="26"/>
          <w:szCs w:val="26"/>
        </w:rPr>
        <w:t xml:space="preserve">4.1 Debt Command Center</w:t>
      </w:r>
    </w:p>
    <w:p>
      <w:pPr>
        <w:pStyle w:val="Heading3"/>
        <w:spacing w:after="100" w:before="240"/>
      </w:pPr>
      <w:r>
        <w:rPr>
          <w:rFonts w:ascii="Arial" w:cs="Arial" w:eastAsia="Arial" w:hAnsi="Arial"/>
          <w:b/>
          <w:bCs/>
          <w:color w:val="1A7A4A"/>
          <w:sz w:val="22"/>
          <w:szCs w:val="22"/>
        </w:rPr>
        <w:t xml:space="preserve">Overview</w:t>
      </w:r>
    </w:p>
    <w:p>
      <w:pPr>
        <w:spacing w:after="80" w:before="80"/>
      </w:pPr>
      <w:r>
        <w:rPr>
          <w:rFonts w:ascii="Arial" w:cs="Arial" w:eastAsia="Arial" w:hAnsi="Arial"/>
          <w:color w:val="1A1A2E"/>
          <w:sz w:val="22"/>
          <w:szCs w:val="22"/>
        </w:rPr>
        <w:t xml:space="preserve">The single most high-ROI intervention for most Lasagna users is getting their debt payoff right. Paying off a 24% APR credit card is equivalent to earning a guaranteed 24% return — better than nearly any investment. Lasagna makes this viscerally clear and builds a personalized repayment roadmap.</w:t>
      </w:r>
    </w:p>
    <w:p>
      <w:pPr>
        <w:spacing w:after="120" w:before="0"/>
      </w:pPr>
    </w:p>
    <w:p>
      <w:pPr>
        <w:pStyle w:val="Heading3"/>
        <w:spacing w:after="100" w:before="240"/>
      </w:pPr>
      <w:r>
        <w:rPr>
          <w:rFonts w:ascii="Arial" w:cs="Arial" w:eastAsia="Arial" w:hAnsi="Arial"/>
          <w:b/>
          <w:bCs/>
          <w:color w:val="1A7A4A"/>
          <w:sz w:val="22"/>
          <w:szCs w:val="22"/>
        </w:rPr>
        <w:t xml:space="preserve">Key Capabilities</w:t>
      </w:r>
    </w:p>
    <w:p>
      <w:pPr>
        <w:pStyle w:val="ListParagraph"/>
        <w:numPr>
          <w:ilvl w:val="0"/>
          <w:numId w:val="2"/>
        </w:numPr>
        <w:spacing w:after="60" w:before="60"/>
      </w:pPr>
      <w:r>
        <w:rPr>
          <w:rFonts w:ascii="Arial" w:cs="Arial" w:eastAsia="Arial" w:hAnsi="Arial"/>
          <w:color w:val="1A1A2E"/>
          <w:sz w:val="22"/>
          <w:szCs w:val="22"/>
        </w:rPr>
        <w:t xml:space="preserve">Debt inventory onboarding: guided intake of all debts (balance, APR, minimum payment, type)</w:t>
      </w:r>
    </w:p>
    <w:p>
      <w:pPr>
        <w:pStyle w:val="ListParagraph"/>
        <w:numPr>
          <w:ilvl w:val="0"/>
          <w:numId w:val="2"/>
        </w:numPr>
        <w:spacing w:after="60" w:before="60"/>
      </w:pPr>
      <w:r>
        <w:rPr>
          <w:rFonts w:ascii="Arial" w:cs="Arial" w:eastAsia="Arial" w:hAnsi="Arial"/>
          <w:color w:val="1A1A2E"/>
          <w:sz w:val="22"/>
          <w:szCs w:val="22"/>
        </w:rPr>
        <w:t xml:space="preserve">Strategy selection with explained tradeoffs:</w:t>
      </w:r>
    </w:p>
    <w:p>
      <w:pPr>
        <w:pStyle w:val="ListParagraph"/>
        <w:numPr>
          <w:ilvl w:val="1"/>
          <w:numId w:val="2"/>
        </w:numPr>
        <w:spacing w:after="60" w:before="60"/>
      </w:pPr>
      <w:r>
        <w:rPr>
          <w:rFonts w:ascii="Arial" w:cs="Arial" w:eastAsia="Arial" w:hAnsi="Arial"/>
          <w:color w:val="1A1A2E"/>
          <w:sz w:val="22"/>
          <w:szCs w:val="22"/>
        </w:rPr>
        <w:t xml:space="preserve">Avalanche method: highest APR first — mathematically optimal, saves the most in interest</w:t>
      </w:r>
    </w:p>
    <w:p>
      <w:pPr>
        <w:pStyle w:val="ListParagraph"/>
        <w:numPr>
          <w:ilvl w:val="1"/>
          <w:numId w:val="2"/>
        </w:numPr>
        <w:spacing w:after="60" w:before="60"/>
      </w:pPr>
      <w:r>
        <w:rPr>
          <w:rFonts w:ascii="Arial" w:cs="Arial" w:eastAsia="Arial" w:hAnsi="Arial"/>
          <w:color w:val="1A1A2E"/>
          <w:sz w:val="22"/>
          <w:szCs w:val="22"/>
        </w:rPr>
        <w:t xml:space="preserve">Snowball method: smallest balance first — psychologically powerful, builds momentum</w:t>
      </w:r>
    </w:p>
    <w:p>
      <w:pPr>
        <w:pStyle w:val="ListParagraph"/>
        <w:numPr>
          <w:ilvl w:val="1"/>
          <w:numId w:val="2"/>
        </w:numPr>
        <w:spacing w:after="60" w:before="60"/>
      </w:pPr>
      <w:r>
        <w:rPr>
          <w:rFonts w:ascii="Arial" w:cs="Arial" w:eastAsia="Arial" w:hAnsi="Arial"/>
          <w:color w:val="1A1A2E"/>
          <w:sz w:val="22"/>
          <w:szCs w:val="22"/>
        </w:rPr>
        <w:t xml:space="preserve">Hybrid/custom: Lasagna recommends based on the user's psychological profile and finances</w:t>
      </w:r>
    </w:p>
    <w:p>
      <w:pPr>
        <w:pStyle w:val="ListParagraph"/>
        <w:numPr>
          <w:ilvl w:val="0"/>
          <w:numId w:val="2"/>
        </w:numPr>
        <w:spacing w:after="60" w:before="60"/>
      </w:pPr>
      <w:r>
        <w:rPr>
          <w:rFonts w:ascii="Arial" w:cs="Arial" w:eastAsia="Arial" w:hAnsi="Arial"/>
          <w:color w:val="1A1A2E"/>
          <w:sz w:val="22"/>
          <w:szCs w:val="22"/>
        </w:rPr>
        <w:t xml:space="preserve">Month-by-month payoff calendar with exact payment amounts</w:t>
      </w:r>
    </w:p>
    <w:p>
      <w:pPr>
        <w:pStyle w:val="ListParagraph"/>
        <w:numPr>
          <w:ilvl w:val="0"/>
          <w:numId w:val="2"/>
        </w:numPr>
        <w:spacing w:after="60" w:before="60"/>
      </w:pPr>
      <w:r>
        <w:rPr>
          <w:rFonts w:ascii="Arial" w:cs="Arial" w:eastAsia="Arial" w:hAnsi="Arial"/>
          <w:color w:val="1A1A2E"/>
          <w:sz w:val="22"/>
          <w:szCs w:val="22"/>
        </w:rPr>
        <w:t xml:space="preserve">Interest savings visualization: "Pay off Card A first and you'll save $4,200 vs. minimum payments"</w:t>
      </w:r>
    </w:p>
    <w:p>
      <w:pPr>
        <w:pStyle w:val="ListParagraph"/>
        <w:numPr>
          <w:ilvl w:val="0"/>
          <w:numId w:val="2"/>
        </w:numPr>
        <w:spacing w:after="60" w:before="60"/>
      </w:pPr>
      <w:r>
        <w:rPr>
          <w:rFonts w:ascii="Arial" w:cs="Arial" w:eastAsia="Arial" w:hAnsi="Arial"/>
          <w:color w:val="1A1A2E"/>
          <w:sz w:val="22"/>
          <w:szCs w:val="22"/>
        </w:rPr>
        <w:t xml:space="preserve">Dynamic rebalancing: when a debt is paid off, Lasagna automatically redistributes the freed payment</w:t>
      </w:r>
    </w:p>
    <w:p>
      <w:pPr>
        <w:spacing w:after="120" w:before="0"/>
      </w:pPr>
    </w:p>
    <w:p>
      <w:pPr>
        <w:pStyle w:val="Heading3"/>
        <w:spacing w:after="100" w:before="240"/>
      </w:pPr>
      <w:r>
        <w:rPr>
          <w:rFonts w:ascii="Arial" w:cs="Arial" w:eastAsia="Arial" w:hAnsi="Arial"/>
          <w:b/>
          <w:bCs/>
          <w:color w:val="1A7A4A"/>
          <w:sz w:val="22"/>
          <w:szCs w:val="22"/>
        </w:rPr>
        <w:t xml:space="preserve">Accountability System</w:t>
      </w:r>
    </w:p>
    <w:p>
      <w:pPr>
        <w:spacing w:after="80" w:before="80"/>
      </w:pPr>
      <w:r>
        <w:rPr>
          <w:rFonts w:ascii="Arial" w:cs="Arial" w:eastAsia="Arial" w:hAnsi="Arial"/>
          <w:color w:val="1A1A2E"/>
          <w:sz w:val="22"/>
          <w:szCs w:val="22"/>
        </w:rPr>
        <w:t xml:space="preserve">Debt payoff fails not from lack of a plan but from lack of follow-through. Lasagna's accountability layer includes:</w:t>
      </w:r>
    </w:p>
    <w:p>
      <w:pPr>
        <w:pStyle w:val="ListParagraph"/>
        <w:numPr>
          <w:ilvl w:val="0"/>
          <w:numId w:val="2"/>
        </w:numPr>
        <w:spacing w:after="60" w:before="60"/>
      </w:pPr>
      <w:r>
        <w:rPr>
          <w:rFonts w:ascii="Arial" w:cs="Arial" w:eastAsia="Arial" w:hAnsi="Arial"/>
          <w:color w:val="1A1A2E"/>
          <w:sz w:val="22"/>
          <w:szCs w:val="22"/>
        </w:rPr>
        <w:t xml:space="preserve">Weekly check-ins via push notification or SMS with a single question: "Did you make your target payment this week?"</w:t>
      </w:r>
    </w:p>
    <w:p>
      <w:pPr>
        <w:pStyle w:val="ListParagraph"/>
        <w:numPr>
          <w:ilvl w:val="0"/>
          <w:numId w:val="2"/>
        </w:numPr>
        <w:spacing w:after="60" w:before="60"/>
      </w:pPr>
      <w:r>
        <w:rPr>
          <w:rFonts w:ascii="Arial" w:cs="Arial" w:eastAsia="Arial" w:hAnsi="Arial"/>
          <w:color w:val="1A1A2E"/>
          <w:sz w:val="22"/>
          <w:szCs w:val="22"/>
        </w:rPr>
        <w:t xml:space="preserve">Celebration milestones at 25%, 50%, 75%, 100% of each debt — not just the final payoff</w:t>
      </w:r>
    </w:p>
    <w:p>
      <w:pPr>
        <w:pStyle w:val="ListParagraph"/>
        <w:numPr>
          <w:ilvl w:val="0"/>
          <w:numId w:val="2"/>
        </w:numPr>
        <w:spacing w:after="60" w:before="60"/>
      </w:pPr>
      <w:r>
        <w:rPr>
          <w:rFonts w:ascii="Arial" w:cs="Arial" w:eastAsia="Arial" w:hAnsi="Arial"/>
          <w:color w:val="1A1A2E"/>
          <w:sz w:val="22"/>
          <w:szCs w:val="22"/>
        </w:rPr>
        <w:t xml:space="preserve">Streak tracking: consecutive weeks of on-plan payments</w:t>
      </w:r>
    </w:p>
    <w:p>
      <w:pPr>
        <w:pStyle w:val="ListParagraph"/>
        <w:numPr>
          <w:ilvl w:val="0"/>
          <w:numId w:val="2"/>
        </w:numPr>
        <w:spacing w:after="60" w:before="60"/>
      </w:pPr>
      <w:r>
        <w:rPr>
          <w:rFonts w:ascii="Arial" w:cs="Arial" w:eastAsia="Arial" w:hAnsi="Arial"/>
          <w:color w:val="1A1A2E"/>
          <w:sz w:val="22"/>
          <w:szCs w:val="22"/>
        </w:rPr>
        <w:t xml:space="preserve">Slip recovery: if a user misses a payment, Lasagna recalculates without judgment and asks "What got in the way?" to surface recurring obstacles</w:t>
      </w:r>
    </w:p>
    <w:p>
      <w:pPr>
        <w:pStyle w:val="ListParagraph"/>
        <w:numPr>
          <w:ilvl w:val="0"/>
          <w:numId w:val="2"/>
        </w:numPr>
        <w:spacing w:after="60" w:before="60"/>
      </w:pPr>
      <w:r>
        <w:rPr>
          <w:rFonts w:ascii="Arial" w:cs="Arial" w:eastAsia="Arial" w:hAnsi="Arial"/>
          <w:color w:val="1A1A2E"/>
          <w:sz w:val="22"/>
          <w:szCs w:val="22"/>
        </w:rPr>
        <w:t xml:space="preserve">Debt-free date countdown: a persistent, dynamic display of the projected payoff date</w:t>
      </w:r>
    </w:p>
    <w:p>
      <w:pPr>
        <w:spacing w:after="120" w:before="0"/>
      </w:pPr>
    </w:p>
    <w:p>
      <w:pPr>
        <w:pStyle w:val="Heading3"/>
        <w:spacing w:after="100" w:before="240"/>
      </w:pPr>
      <w:r>
        <w:rPr>
          <w:rFonts w:ascii="Arial" w:cs="Arial" w:eastAsia="Arial" w:hAnsi="Arial"/>
          <w:b/>
          <w:bCs/>
          <w:color w:val="1A7A4A"/>
          <w:sz w:val="22"/>
          <w:szCs w:val="22"/>
        </w:rPr>
        <w:t xml:space="preserve">Intelligent Debt Prioritization Edge Cases</w:t>
      </w:r>
    </w:p>
    <w:p>
      <w:pPr>
        <w:pStyle w:val="ListParagraph"/>
        <w:numPr>
          <w:ilvl w:val="0"/>
          <w:numId w:val="2"/>
        </w:numPr>
        <w:spacing w:after="60" w:before="60"/>
      </w:pPr>
      <w:r>
        <w:rPr>
          <w:rFonts w:ascii="Arial" w:cs="Arial" w:eastAsia="Arial" w:hAnsi="Arial"/>
          <w:color w:val="1A1A2E"/>
          <w:sz w:val="22"/>
          <w:szCs w:val="22"/>
        </w:rPr>
        <w:t xml:space="preserve">Low-APR debt vs. investing: Lasagna advises when it makes mathematical sense to invest instead of accelerating debt payoff (e.g., mortgage at 3.5% vs. expected market return of 7%+)</w:t>
      </w:r>
    </w:p>
    <w:p>
      <w:pPr>
        <w:pStyle w:val="ListParagraph"/>
        <w:numPr>
          <w:ilvl w:val="0"/>
          <w:numId w:val="2"/>
        </w:numPr>
        <w:spacing w:after="60" w:before="60"/>
      </w:pPr>
      <w:r>
        <w:rPr>
          <w:rFonts w:ascii="Arial" w:cs="Arial" w:eastAsia="Arial" w:hAnsi="Arial"/>
          <w:color w:val="1A1A2E"/>
          <w:sz w:val="22"/>
          <w:szCs w:val="22"/>
        </w:rPr>
        <w:t xml:space="preserve">0% APR promotional periods: tracks expiry dates and warns users 60 days out</w:t>
      </w:r>
    </w:p>
    <w:p>
      <w:pPr>
        <w:pStyle w:val="ListParagraph"/>
        <w:numPr>
          <w:ilvl w:val="0"/>
          <w:numId w:val="2"/>
        </w:numPr>
        <w:spacing w:after="60" w:before="60"/>
      </w:pPr>
      <w:r>
        <w:rPr>
          <w:rFonts w:ascii="Arial" w:cs="Arial" w:eastAsia="Arial" w:hAnsi="Arial"/>
          <w:color w:val="1A1A2E"/>
          <w:sz w:val="22"/>
          <w:szCs w:val="22"/>
        </w:rPr>
        <w:t xml:space="preserve">Refinancing opportunities: periodically surfaces whether consolidation or refinancing could reduce effective APR</w:t>
      </w:r>
    </w:p>
    <w:p>
      <w:pPr>
        <w:spacing w:after="120" w:before="0"/>
      </w:pPr>
    </w:p>
    <w:p>
      <w:pPr>
        <w:pBdr>
          <w:bottom w:val="single" w:color="A8D5B8" w:sz="4" w:space="1"/>
        </w:pBdr>
        <w:spacing w:after="160" w:before="160"/>
      </w:pPr>
    </w:p>
    <w:p>
      <w:pPr>
        <w:pStyle w:val="Heading2"/>
        <w:spacing w:after="120" w:before="320"/>
      </w:pPr>
      <w:r>
        <w:rPr>
          <w:rFonts w:ascii="Arial" w:cs="Arial" w:eastAsia="Arial" w:hAnsi="Arial"/>
          <w:b/>
          <w:bCs/>
          <w:color w:val="1A1A2E"/>
          <w:sz w:val="26"/>
          <w:szCs w:val="26"/>
        </w:rPr>
        <w:t xml:space="preserve">4.2 Investing Launchpad</w:t>
      </w:r>
    </w:p>
    <w:p>
      <w:pPr>
        <w:pStyle w:val="Heading3"/>
        <w:spacing w:after="100" w:before="240"/>
      </w:pPr>
      <w:r>
        <w:rPr>
          <w:rFonts w:ascii="Arial" w:cs="Arial" w:eastAsia="Arial" w:hAnsi="Arial"/>
          <w:b/>
          <w:bCs/>
          <w:color w:val="1A7A4A"/>
          <w:sz w:val="22"/>
          <w:szCs w:val="22"/>
        </w:rPr>
        <w:t xml:space="preserve">Overview</w:t>
      </w:r>
    </w:p>
    <w:p>
      <w:pPr>
        <w:spacing w:after="80" w:before="80"/>
      </w:pPr>
      <w:r>
        <w:rPr>
          <w:rFonts w:ascii="Arial" w:cs="Arial" w:eastAsia="Arial" w:hAnsi="Arial"/>
          <w:color w:val="1A1A2E"/>
          <w:sz w:val="22"/>
          <w:szCs w:val="22"/>
        </w:rPr>
        <w:t xml:space="preserve">Once a user has an emergency fund and is on track with debt, investing is the next layer. Most first-time investors are lost — not from lack of desire but from an overwhelming number of choices and fear of doing the wrong thing. Lasagna cuts through noise with opinionated, personalized guidance.</w:t>
      </w:r>
    </w:p>
    <w:p>
      <w:pPr>
        <w:spacing w:after="120" w:before="0"/>
      </w:pPr>
    </w:p>
    <w:p>
      <w:pPr>
        <w:pStyle w:val="Heading3"/>
        <w:spacing w:after="100" w:before="240"/>
      </w:pPr>
      <w:r>
        <w:rPr>
          <w:rFonts w:ascii="Arial" w:cs="Arial" w:eastAsia="Arial" w:hAnsi="Arial"/>
          <w:b/>
          <w:bCs/>
          <w:color w:val="1A7A4A"/>
          <w:sz w:val="22"/>
          <w:szCs w:val="22"/>
        </w:rPr>
        <w:t xml:space="preserve">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Step 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Establish prerequisites: Does the user have 3–6 months of expenses saved? Is high-interest debt cleared?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Determine time horizon and goals: retirement, home purchase, child's education, general wealth building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Step 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Assess risk tolerance: behavioral questionnaire, not just a 1–10 slider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4</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Map existing accounts: 401(k), IRA, brokerage, HSA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Step 5</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Generate personalized investment order of operations</w:t>
            </w:r>
          </w:p>
        </w:tc>
      </w:tr>
    </w:tbl>
    <w:p>
      <w:pPr>
        <w:spacing w:after="120" w:before="0"/>
      </w:pPr>
    </w:p>
    <w:p>
      <w:pPr>
        <w:pStyle w:val="Heading3"/>
        <w:spacing w:after="100" w:before="240"/>
      </w:pPr>
      <w:r>
        <w:rPr>
          <w:rFonts w:ascii="Arial" w:cs="Arial" w:eastAsia="Arial" w:hAnsi="Arial"/>
          <w:b/>
          <w:bCs/>
          <w:color w:val="1A7A4A"/>
          <w:sz w:val="22"/>
          <w:szCs w:val="22"/>
        </w:rPr>
        <w:t xml:space="preserve">Investment Order of Operations</w:t>
      </w:r>
    </w:p>
    <w:p>
      <w:pPr>
        <w:spacing w:after="80" w:before="80"/>
      </w:pPr>
      <w:r>
        <w:rPr>
          <w:rFonts w:ascii="Arial" w:cs="Arial" w:eastAsia="Arial" w:hAnsi="Arial"/>
          <w:color w:val="1A1A2E"/>
          <w:sz w:val="22"/>
          <w:szCs w:val="22"/>
        </w:rPr>
        <w:t xml:space="preserve">Lasagna teaches and enforces the optimal sequence for deploying investable dollars:</w:t>
      </w:r>
    </w:p>
    <w:p>
      <w:pPr>
        <w:pStyle w:val="ListParagraph"/>
        <w:numPr>
          <w:ilvl w:val="0"/>
          <w:numId w:val="2"/>
        </w:numPr>
        <w:spacing w:after="60" w:before="60"/>
      </w:pPr>
      <w:r>
        <w:rPr>
          <w:rFonts w:ascii="Arial" w:cs="Arial" w:eastAsia="Arial" w:hAnsi="Arial"/>
          <w:color w:val="1A1A2E"/>
          <w:sz w:val="22"/>
          <w:szCs w:val="22"/>
        </w:rPr>
        <w:t xml:space="preserve">Capture full employer 401(k) match — this is an instant 50–100% return</w:t>
      </w:r>
    </w:p>
    <w:p>
      <w:pPr>
        <w:pStyle w:val="ListParagraph"/>
        <w:numPr>
          <w:ilvl w:val="0"/>
          <w:numId w:val="2"/>
        </w:numPr>
        <w:spacing w:after="60" w:before="60"/>
      </w:pPr>
      <w:r>
        <w:rPr>
          <w:rFonts w:ascii="Arial" w:cs="Arial" w:eastAsia="Arial" w:hAnsi="Arial"/>
          <w:color w:val="1A1A2E"/>
          <w:sz w:val="22"/>
          <w:szCs w:val="22"/>
        </w:rPr>
        <w:t xml:space="preserve">Max HSA if eligible — triple tax advantage, best account in the tax code</w:t>
      </w:r>
    </w:p>
    <w:p>
      <w:pPr>
        <w:pStyle w:val="ListParagraph"/>
        <w:numPr>
          <w:ilvl w:val="0"/>
          <w:numId w:val="2"/>
        </w:numPr>
        <w:spacing w:after="60" w:before="60"/>
      </w:pPr>
      <w:r>
        <w:rPr>
          <w:rFonts w:ascii="Arial" w:cs="Arial" w:eastAsia="Arial" w:hAnsi="Arial"/>
          <w:color w:val="1A1A2E"/>
          <w:sz w:val="22"/>
          <w:szCs w:val="22"/>
        </w:rPr>
        <w:t xml:space="preserve">Max Roth or traditional IRA based on income and tax situation</w:t>
      </w:r>
    </w:p>
    <w:p>
      <w:pPr>
        <w:pStyle w:val="ListParagraph"/>
        <w:numPr>
          <w:ilvl w:val="0"/>
          <w:numId w:val="2"/>
        </w:numPr>
        <w:spacing w:after="60" w:before="60"/>
      </w:pPr>
      <w:r>
        <w:rPr>
          <w:rFonts w:ascii="Arial" w:cs="Arial" w:eastAsia="Arial" w:hAnsi="Arial"/>
          <w:color w:val="1A1A2E"/>
          <w:sz w:val="22"/>
          <w:szCs w:val="22"/>
        </w:rPr>
        <w:t xml:space="preserve">Return to 401(k) to full $23,500 annual limit</w:t>
      </w:r>
    </w:p>
    <w:p>
      <w:pPr>
        <w:pStyle w:val="ListParagraph"/>
        <w:numPr>
          <w:ilvl w:val="0"/>
          <w:numId w:val="2"/>
        </w:numPr>
        <w:spacing w:after="60" w:before="60"/>
      </w:pPr>
      <w:r>
        <w:rPr>
          <w:rFonts w:ascii="Arial" w:cs="Arial" w:eastAsia="Arial" w:hAnsi="Arial"/>
          <w:color w:val="1A1A2E"/>
          <w:sz w:val="22"/>
          <w:szCs w:val="22"/>
        </w:rPr>
        <w:t xml:space="preserve">Taxable brokerage for additional investing</w:t>
      </w:r>
    </w:p>
    <w:p>
      <w:pPr>
        <w:spacing w:after="120" w:before="0"/>
      </w:pPr>
    </w:p>
    <w:p>
      <w:pPr>
        <w:pStyle w:val="Heading3"/>
        <w:spacing w:after="100" w:before="240"/>
      </w:pPr>
      <w:r>
        <w:rPr>
          <w:rFonts w:ascii="Arial" w:cs="Arial" w:eastAsia="Arial" w:hAnsi="Arial"/>
          <w:b/>
          <w:bCs/>
          <w:color w:val="1A7A4A"/>
          <w:sz w:val="22"/>
          <w:szCs w:val="22"/>
        </w:rPr>
        <w:t xml:space="preserve">Portfolio Construction</w:t>
      </w:r>
    </w:p>
    <w:p>
      <w:pPr>
        <w:pStyle w:val="ListParagraph"/>
        <w:numPr>
          <w:ilvl w:val="0"/>
          <w:numId w:val="2"/>
        </w:numPr>
        <w:spacing w:after="60" w:before="60"/>
      </w:pPr>
      <w:r>
        <w:rPr>
          <w:rFonts w:ascii="Arial" w:cs="Arial" w:eastAsia="Arial" w:hAnsi="Arial"/>
          <w:color w:val="1A1A2E"/>
          <w:sz w:val="22"/>
          <w:szCs w:val="22"/>
        </w:rPr>
        <w:t xml:space="preserve">Default recommendation: low-cost total market index fund portfolio (e.g., VTI + VXUS + BND mix based on age and risk)</w:t>
      </w:r>
    </w:p>
    <w:p>
      <w:pPr>
        <w:pStyle w:val="ListParagraph"/>
        <w:numPr>
          <w:ilvl w:val="0"/>
          <w:numId w:val="2"/>
        </w:numPr>
        <w:spacing w:after="60" w:before="60"/>
      </w:pPr>
      <w:r>
        <w:rPr>
          <w:rFonts w:ascii="Arial" w:cs="Arial" w:eastAsia="Arial" w:hAnsi="Arial"/>
          <w:color w:val="1A1A2E"/>
          <w:sz w:val="22"/>
          <w:szCs w:val="22"/>
        </w:rPr>
        <w:t xml:space="preserve">Explains the "why" behind every recommendation — no black boxes</w:t>
      </w:r>
    </w:p>
    <w:p>
      <w:pPr>
        <w:pStyle w:val="ListParagraph"/>
        <w:numPr>
          <w:ilvl w:val="0"/>
          <w:numId w:val="2"/>
        </w:numPr>
        <w:spacing w:after="60" w:before="60"/>
      </w:pPr>
      <w:r>
        <w:rPr>
          <w:rFonts w:ascii="Arial" w:cs="Arial" w:eastAsia="Arial" w:hAnsi="Arial"/>
          <w:color w:val="1A1A2E"/>
          <w:sz w:val="22"/>
          <w:szCs w:val="22"/>
        </w:rPr>
        <w:t xml:space="preserve">Factor in existing 401(k) fund menu quality and costs</w:t>
      </w:r>
    </w:p>
    <w:p>
      <w:pPr>
        <w:pStyle w:val="ListParagraph"/>
        <w:numPr>
          <w:ilvl w:val="0"/>
          <w:numId w:val="2"/>
        </w:numPr>
        <w:spacing w:after="60" w:before="60"/>
      </w:pPr>
      <w:r>
        <w:rPr>
          <w:rFonts w:ascii="Arial" w:cs="Arial" w:eastAsia="Arial" w:hAnsi="Arial"/>
          <w:color w:val="1A1A2E"/>
          <w:sz w:val="22"/>
          <w:szCs w:val="22"/>
        </w:rPr>
        <w:t xml:space="preserve">Tax-location optimization: which assets belong in which account types</w:t>
      </w:r>
    </w:p>
    <w:p>
      <w:pPr>
        <w:pStyle w:val="ListParagraph"/>
        <w:numPr>
          <w:ilvl w:val="0"/>
          <w:numId w:val="2"/>
        </w:numPr>
        <w:spacing w:after="60" w:before="60"/>
      </w:pPr>
      <w:r>
        <w:rPr>
          <w:rFonts w:ascii="Arial" w:cs="Arial" w:eastAsia="Arial" w:hAnsi="Arial"/>
          <w:color w:val="1A1A2E"/>
          <w:sz w:val="22"/>
          <w:szCs w:val="22"/>
        </w:rPr>
        <w:t xml:space="preserve">Rebalancing reminders: annual or when allocation drifts beyond threshold</w:t>
      </w:r>
    </w:p>
    <w:p>
      <w:pPr>
        <w:spacing w:after="120" w:before="0"/>
      </w:pPr>
    </w:p>
    <w:p>
      <w:pPr>
        <w:pStyle w:val="Heading3"/>
        <w:spacing w:after="100" w:before="240"/>
      </w:pPr>
      <w:r>
        <w:rPr>
          <w:rFonts w:ascii="Arial" w:cs="Arial" w:eastAsia="Arial" w:hAnsi="Arial"/>
          <w:b/>
          <w:bCs/>
          <w:color w:val="1A7A4A"/>
          <w:sz w:val="22"/>
          <w:szCs w:val="22"/>
        </w:rPr>
        <w:t xml:space="preserve">Ongoing Education</w:t>
      </w:r>
    </w:p>
    <w:p>
      <w:pPr>
        <w:spacing w:after="80" w:before="80"/>
      </w:pPr>
      <w:r>
        <w:rPr>
          <w:rFonts w:ascii="Arial" w:cs="Arial" w:eastAsia="Arial" w:hAnsi="Arial"/>
          <w:color w:val="1A1A2E"/>
          <w:sz w:val="22"/>
          <w:szCs w:val="22"/>
        </w:rPr>
        <w:t xml:space="preserve">Lasagna surfaces teachable moments rather than dumping information upfront:</w:t>
      </w:r>
    </w:p>
    <w:p>
      <w:pPr>
        <w:pStyle w:val="ListParagraph"/>
        <w:numPr>
          <w:ilvl w:val="0"/>
          <w:numId w:val="2"/>
        </w:numPr>
        <w:spacing w:after="60" w:before="60"/>
      </w:pPr>
      <w:r>
        <w:rPr>
          <w:rFonts w:ascii="Arial" w:cs="Arial" w:eastAsia="Arial" w:hAnsi="Arial"/>
          <w:color w:val="1A1A2E"/>
          <w:sz w:val="22"/>
          <w:szCs w:val="22"/>
        </w:rPr>
        <w:t xml:space="preserve">"Your market is down 12% this week. Here's why that's actually okay for you right now."</w:t>
      </w:r>
    </w:p>
    <w:p>
      <w:pPr>
        <w:pStyle w:val="ListParagraph"/>
        <w:numPr>
          <w:ilvl w:val="0"/>
          <w:numId w:val="2"/>
        </w:numPr>
        <w:spacing w:after="60" w:before="60"/>
      </w:pPr>
      <w:r>
        <w:rPr>
          <w:rFonts w:ascii="Arial" w:cs="Arial" w:eastAsia="Arial" w:hAnsi="Arial"/>
          <w:color w:val="1A1A2E"/>
          <w:sz w:val="22"/>
          <w:szCs w:val="22"/>
        </w:rPr>
        <w:t xml:space="preserve">"You've been investing for 1 year. Here's what compounding has done for you."</w:t>
      </w:r>
    </w:p>
    <w:p>
      <w:pPr>
        <w:pStyle w:val="ListParagraph"/>
        <w:numPr>
          <w:ilvl w:val="0"/>
          <w:numId w:val="2"/>
        </w:numPr>
        <w:spacing w:after="60" w:before="60"/>
      </w:pPr>
      <w:r>
        <w:rPr>
          <w:rFonts w:ascii="Arial" w:cs="Arial" w:eastAsia="Arial" w:hAnsi="Arial"/>
          <w:color w:val="1A1A2E"/>
          <w:sz w:val="22"/>
          <w:szCs w:val="22"/>
        </w:rPr>
        <w:t xml:space="preserve">"Your 401(k) has funds with expense ratios over 0.5%. Here's what that's costing you."</w:t>
      </w:r>
    </w:p>
    <w:p>
      <w:pPr>
        <w:spacing w:after="120" w:before="0"/>
      </w:pPr>
    </w:p>
    <w:p>
      <w:pPr>
        <w:pBdr>
          <w:bottom w:val="single" w:color="A8D5B8" w:sz="4" w:space="1"/>
        </w:pBdr>
        <w:spacing w:after="160" w:before="160"/>
      </w:pPr>
    </w:p>
    <w:p>
      <w:pPr>
        <w:pStyle w:val="Heading2"/>
        <w:spacing w:after="120" w:before="320"/>
      </w:pPr>
      <w:r>
        <w:rPr>
          <w:rFonts w:ascii="Arial" w:cs="Arial" w:eastAsia="Arial" w:hAnsi="Arial"/>
          <w:b/>
          <w:bCs/>
          <w:color w:val="1A1A2E"/>
          <w:sz w:val="26"/>
          <w:szCs w:val="26"/>
        </w:rPr>
        <w:t xml:space="preserve">4.3 Risk &amp; Portfolio Intelligence</w:t>
      </w:r>
    </w:p>
    <w:p>
      <w:pPr>
        <w:pStyle w:val="Heading3"/>
        <w:spacing w:after="100" w:before="240"/>
      </w:pPr>
      <w:r>
        <w:rPr>
          <w:rFonts w:ascii="Arial" w:cs="Arial" w:eastAsia="Arial" w:hAnsi="Arial"/>
          <w:b/>
          <w:bCs/>
          <w:color w:val="1A7A4A"/>
          <w:sz w:val="22"/>
          <w:szCs w:val="22"/>
        </w:rPr>
        <w:t xml:space="preserve">Overview</w:t>
      </w:r>
    </w:p>
    <w:p>
      <w:pPr>
        <w:spacing w:after="80" w:before="80"/>
      </w:pPr>
      <w:r>
        <w:rPr>
          <w:rFonts w:ascii="Arial" w:cs="Arial" w:eastAsia="Arial" w:hAnsi="Arial"/>
          <w:color w:val="1A1A2E"/>
          <w:sz w:val="22"/>
          <w:szCs w:val="22"/>
        </w:rPr>
        <w:t xml:space="preserve">As a user's portfolio grows, new risks emerge that most people don't know exist until they've been burned. Lasagna proactively identifies and addresses concentration risk, sequence of returns risk, and asset allocation drift.</w:t>
      </w:r>
    </w:p>
    <w:p>
      <w:pPr>
        <w:spacing w:after="120" w:before="0"/>
      </w:pPr>
    </w:p>
    <w:p>
      <w:pPr>
        <w:pStyle w:val="Heading3"/>
        <w:spacing w:after="100" w:before="240"/>
      </w:pPr>
      <w:r>
        <w:rPr>
          <w:rFonts w:ascii="Arial" w:cs="Arial" w:eastAsia="Arial" w:hAnsi="Arial"/>
          <w:b/>
          <w:bCs/>
          <w:color w:val="1A7A4A"/>
          <w:sz w:val="22"/>
          <w:szCs w:val="22"/>
        </w:rPr>
        <w:t xml:space="preserve">Concentration Risk Detection</w:t>
      </w:r>
    </w:p>
    <w:p>
      <w:pPr>
        <w:spacing w:after="80" w:before="80"/>
      </w:pPr>
      <w:r>
        <w:rPr>
          <w:rFonts w:ascii="Arial" w:cs="Arial" w:eastAsia="Arial" w:hAnsi="Arial"/>
          <w:color w:val="1A1A2E"/>
          <w:sz w:val="22"/>
          <w:szCs w:val="22"/>
        </w:rPr>
        <w:t xml:space="preserve">Lasagna monitors the user's full portfolio (across all linked accounts) and flags dangerous concentration:</w:t>
      </w:r>
    </w:p>
    <w:p>
      <w:pPr>
        <w:pStyle w:val="ListParagraph"/>
        <w:numPr>
          <w:ilvl w:val="0"/>
          <w:numId w:val="2"/>
        </w:numPr>
        <w:spacing w:after="60" w:before="60"/>
      </w:pPr>
      <w:r>
        <w:rPr>
          <w:rFonts w:ascii="Arial" w:cs="Arial" w:eastAsia="Arial" w:hAnsi="Arial"/>
          <w:color w:val="1A1A2E"/>
          <w:sz w:val="22"/>
          <w:szCs w:val="22"/>
        </w:rPr>
        <w:t xml:space="preserve">Single stock &gt; 5% of portfolio: "Your Amazon position is 18% of your total portfolio. Here's what that risk looks like."</w:t>
      </w:r>
    </w:p>
    <w:p>
      <w:pPr>
        <w:pStyle w:val="ListParagraph"/>
        <w:numPr>
          <w:ilvl w:val="0"/>
          <w:numId w:val="2"/>
        </w:numPr>
        <w:spacing w:after="60" w:before="60"/>
      </w:pPr>
      <w:r>
        <w:rPr>
          <w:rFonts w:ascii="Arial" w:cs="Arial" w:eastAsia="Arial" w:hAnsi="Arial"/>
          <w:color w:val="1A1A2E"/>
          <w:sz w:val="22"/>
          <w:szCs w:val="22"/>
        </w:rPr>
        <w:t xml:space="preserve">Single sector &gt; 25%: common with tech workers who also hold company stock and tech-heavy 401(k) funds</w:t>
      </w:r>
    </w:p>
    <w:p>
      <w:pPr>
        <w:pStyle w:val="ListParagraph"/>
        <w:numPr>
          <w:ilvl w:val="0"/>
          <w:numId w:val="2"/>
        </w:numPr>
        <w:spacing w:after="60" w:before="60"/>
      </w:pPr>
      <w:r>
        <w:rPr>
          <w:rFonts w:ascii="Arial" w:cs="Arial" w:eastAsia="Arial" w:hAnsi="Arial"/>
          <w:color w:val="1A1A2E"/>
          <w:sz w:val="22"/>
          <w:szCs w:val="22"/>
        </w:rPr>
        <w:t xml:space="preserve">Geography concentration: all US, no international diversification</w:t>
      </w:r>
    </w:p>
    <w:p>
      <w:pPr>
        <w:pStyle w:val="ListParagraph"/>
        <w:numPr>
          <w:ilvl w:val="0"/>
          <w:numId w:val="2"/>
        </w:numPr>
        <w:spacing w:after="60" w:before="60"/>
      </w:pPr>
      <w:r>
        <w:rPr>
          <w:rFonts w:ascii="Arial" w:cs="Arial" w:eastAsia="Arial" w:hAnsi="Arial"/>
          <w:color w:val="1A1A2E"/>
          <w:sz w:val="22"/>
          <w:szCs w:val="22"/>
        </w:rPr>
        <w:t xml:space="preserve">Asset class gaps: all equities, no bonds as user approaches retirement</w:t>
      </w:r>
    </w:p>
    <w:p>
      <w:pPr>
        <w:spacing w:after="120" w:before="0"/>
      </w:pPr>
    </w:p>
    <w:p>
      <w:pPr>
        <w:pStyle w:val="Heading3"/>
        <w:spacing w:after="100" w:before="240"/>
      </w:pPr>
      <w:r>
        <w:rPr>
          <w:rFonts w:ascii="Arial" w:cs="Arial" w:eastAsia="Arial" w:hAnsi="Arial"/>
          <w:b/>
          <w:bCs/>
          <w:color w:val="1A7A4A"/>
          <w:sz w:val="22"/>
          <w:szCs w:val="22"/>
        </w:rPr>
        <w:t xml:space="preserve">Sequence of Returns Risk</w:t>
      </w:r>
    </w:p>
    <w:p>
      <w:pPr>
        <w:spacing w:after="80" w:before="80"/>
      </w:pPr>
      <w:r>
        <w:rPr>
          <w:rFonts w:ascii="Arial" w:cs="Arial" w:eastAsia="Arial" w:hAnsi="Arial"/>
          <w:color w:val="1A1A2E"/>
          <w:sz w:val="22"/>
          <w:szCs w:val="22"/>
        </w:rPr>
        <w:t xml:space="preserve">This is one of the most underappreciated risks in personal finance — the order in which investment returns occur matters enormously near retirement. A bad sequence in the first few years of retirement can permanently impair a portfolio even if long-term average returns are fine.</w:t>
      </w:r>
    </w:p>
    <w:p>
      <w:pPr>
        <w:pStyle w:val="ListParagraph"/>
        <w:numPr>
          <w:ilvl w:val="0"/>
          <w:numId w:val="2"/>
        </w:numPr>
        <w:spacing w:after="60" w:before="60"/>
      </w:pPr>
      <w:r>
        <w:rPr>
          <w:rFonts w:ascii="Arial" w:cs="Arial" w:eastAsia="Arial" w:hAnsi="Arial"/>
          <w:color w:val="1A1A2E"/>
          <w:sz w:val="22"/>
          <w:szCs w:val="22"/>
        </w:rPr>
        <w:t xml:space="preserve">Lasagna surfaces this risk proactively when a user is within 10–15 years of a stated retirement target</w:t>
      </w:r>
    </w:p>
    <w:p>
      <w:pPr>
        <w:pStyle w:val="ListParagraph"/>
        <w:numPr>
          <w:ilvl w:val="0"/>
          <w:numId w:val="2"/>
        </w:numPr>
        <w:spacing w:after="60" w:before="60"/>
      </w:pPr>
      <w:r>
        <w:rPr>
          <w:rFonts w:ascii="Arial" w:cs="Arial" w:eastAsia="Arial" w:hAnsi="Arial"/>
          <w:color w:val="1A1A2E"/>
          <w:sz w:val="22"/>
          <w:szCs w:val="22"/>
        </w:rPr>
        <w:t xml:space="preserve">Recommends a "glide path" — gradually shifting allocation toward bonds and cash</w:t>
      </w:r>
    </w:p>
    <w:p>
      <w:pPr>
        <w:pStyle w:val="ListParagraph"/>
        <w:numPr>
          <w:ilvl w:val="0"/>
          <w:numId w:val="2"/>
        </w:numPr>
        <w:spacing w:after="60" w:before="60"/>
      </w:pPr>
      <w:r>
        <w:rPr>
          <w:rFonts w:ascii="Arial" w:cs="Arial" w:eastAsia="Arial" w:hAnsi="Arial"/>
          <w:color w:val="1A1A2E"/>
          <w:sz w:val="22"/>
          <w:szCs w:val="22"/>
        </w:rPr>
        <w:t xml:space="preserve">Suggests a 2–3 year cash/bond buffer to avoid selling equities during a market downturn in early retirement</w:t>
      </w:r>
    </w:p>
    <w:p>
      <w:pPr>
        <w:pStyle w:val="ListParagraph"/>
        <w:numPr>
          <w:ilvl w:val="0"/>
          <w:numId w:val="2"/>
        </w:numPr>
        <w:spacing w:after="60" w:before="60"/>
      </w:pPr>
      <w:r>
        <w:rPr>
          <w:rFonts w:ascii="Arial" w:cs="Arial" w:eastAsia="Arial" w:hAnsi="Arial"/>
          <w:color w:val="1A1A2E"/>
          <w:sz w:val="22"/>
          <w:szCs w:val="22"/>
        </w:rPr>
        <w:t xml:space="preserve">Runs simple scenarios: "If markets drop 30% in year 1 of retirement and you withdraw $60K/year, here's what happens to your portfolio."</w:t>
      </w:r>
    </w:p>
    <w:p>
      <w:pPr>
        <w:spacing w:after="120" w:before="0"/>
      </w:pPr>
    </w:p>
    <w:p>
      <w:pPr>
        <w:pStyle w:val="Heading3"/>
        <w:spacing w:after="100" w:before="240"/>
      </w:pPr>
      <w:r>
        <w:rPr>
          <w:rFonts w:ascii="Arial" w:cs="Arial" w:eastAsia="Arial" w:hAnsi="Arial"/>
          <w:b/>
          <w:bCs/>
          <w:color w:val="1A7A4A"/>
          <w:sz w:val="22"/>
          <w:szCs w:val="22"/>
        </w:rPr>
        <w:t xml:space="preserve">Rebalancing &amp; Drift Alerts</w:t>
      </w:r>
    </w:p>
    <w:p>
      <w:pPr>
        <w:pStyle w:val="ListParagraph"/>
        <w:numPr>
          <w:ilvl w:val="0"/>
          <w:numId w:val="2"/>
        </w:numPr>
        <w:spacing w:after="60" w:before="60"/>
      </w:pPr>
      <w:r>
        <w:rPr>
          <w:rFonts w:ascii="Arial" w:cs="Arial" w:eastAsia="Arial" w:hAnsi="Arial"/>
          <w:color w:val="1A1A2E"/>
          <w:sz w:val="22"/>
          <w:szCs w:val="22"/>
        </w:rPr>
        <w:t xml:space="preserve">Monitors allocation drift and recommends rebalancing when any asset class is more than 5% off target</w:t>
      </w:r>
    </w:p>
    <w:p>
      <w:pPr>
        <w:pStyle w:val="ListParagraph"/>
        <w:numPr>
          <w:ilvl w:val="0"/>
          <w:numId w:val="2"/>
        </w:numPr>
        <w:spacing w:after="60" w:before="60"/>
      </w:pPr>
      <w:r>
        <w:rPr>
          <w:rFonts w:ascii="Arial" w:cs="Arial" w:eastAsia="Arial" w:hAnsi="Arial"/>
          <w:color w:val="1A1A2E"/>
          <w:sz w:val="22"/>
          <w:szCs w:val="22"/>
        </w:rPr>
        <w:t xml:space="preserve">Tax-smart rebalancing: directs new contributions to underweight assets before triggering taxable events</w:t>
      </w:r>
    </w:p>
    <w:p>
      <w:pPr>
        <w:pStyle w:val="ListParagraph"/>
        <w:numPr>
          <w:ilvl w:val="0"/>
          <w:numId w:val="2"/>
        </w:numPr>
        <w:spacing w:after="60" w:before="60"/>
      </w:pPr>
      <w:r>
        <w:rPr>
          <w:rFonts w:ascii="Arial" w:cs="Arial" w:eastAsia="Arial" w:hAnsi="Arial"/>
          <w:color w:val="1A1A2E"/>
          <w:sz w:val="22"/>
          <w:szCs w:val="22"/>
        </w:rPr>
        <w:t xml:space="preserve">Annual rebalancing reminder with specific trade recommendations (not execution — see compliance note)</w:t>
      </w:r>
    </w:p>
    <w:p>
      <w:pPr>
        <w:spacing w:after="120" w:before="0"/>
      </w:pPr>
    </w:p>
    <w:p>
      <w:pPr>
        <w:pBdr>
          <w:bottom w:val="single" w:color="A8D5B8" w:sz="4" w:space="1"/>
        </w:pBdr>
        <w:spacing w:after="160" w:before="160"/>
      </w:pPr>
    </w:p>
    <w:p>
      <w:pPr>
        <w:pStyle w:val="Heading2"/>
        <w:spacing w:after="120" w:before="320"/>
      </w:pPr>
      <w:r>
        <w:rPr>
          <w:rFonts w:ascii="Arial" w:cs="Arial" w:eastAsia="Arial" w:hAnsi="Arial"/>
          <w:b/>
          <w:bCs/>
          <w:color w:val="1A1A2E"/>
          <w:sz w:val="26"/>
          <w:szCs w:val="26"/>
        </w:rPr>
        <w:t xml:space="preserve">4.4 Tax Intelligence Layer</w:t>
      </w:r>
    </w:p>
    <w:p>
      <w:pPr>
        <w:pStyle w:val="Heading3"/>
        <w:spacing w:after="100" w:before="240"/>
      </w:pPr>
      <w:r>
        <w:rPr>
          <w:rFonts w:ascii="Arial" w:cs="Arial" w:eastAsia="Arial" w:hAnsi="Arial"/>
          <w:b/>
          <w:bCs/>
          <w:color w:val="1A7A4A"/>
          <w:sz w:val="22"/>
          <w:szCs w:val="22"/>
        </w:rPr>
        <w:t xml:space="preserve">Overview</w:t>
      </w:r>
    </w:p>
    <w:p>
      <w:pPr>
        <w:spacing w:after="80" w:before="80"/>
      </w:pPr>
      <w:r>
        <w:rPr>
          <w:rFonts w:ascii="Arial" w:cs="Arial" w:eastAsia="Arial" w:hAnsi="Arial"/>
          <w:color w:val="1A1A2E"/>
          <w:sz w:val="22"/>
          <w:szCs w:val="22"/>
        </w:rPr>
        <w:t xml:space="preserve">Taxes are the single largest expense most people underestimate. A high earner who optimizes their tax situation can easily save $10,000–$30,000 per year legally. Lasagna knows the user's tax picture and surfaces opportunities year-round, not just at filing time.</w:t>
      </w:r>
    </w:p>
    <w:p>
      <w:pPr>
        <w:spacing w:after="120" w:before="0"/>
      </w:pPr>
    </w:p>
    <w:p>
      <w:pPr>
        <w:pStyle w:val="Heading3"/>
        <w:spacing w:after="100" w:before="240"/>
      </w:pPr>
      <w:r>
        <w:rPr>
          <w:rFonts w:ascii="Arial" w:cs="Arial" w:eastAsia="Arial" w:hAnsi="Arial"/>
          <w:b/>
          <w:bCs/>
          <w:color w:val="1A7A4A"/>
          <w:sz w:val="22"/>
          <w:szCs w:val="22"/>
        </w:rPr>
        <w:t xml:space="preserve">Tax Profile Inputs</w:t>
      </w:r>
    </w:p>
    <w:p>
      <w:pPr>
        <w:pStyle w:val="ListParagraph"/>
        <w:numPr>
          <w:ilvl w:val="0"/>
          <w:numId w:val="2"/>
        </w:numPr>
        <w:spacing w:after="60" w:before="60"/>
      </w:pPr>
      <w:r>
        <w:rPr>
          <w:rFonts w:ascii="Arial" w:cs="Arial" w:eastAsia="Arial" w:hAnsi="Arial"/>
          <w:color w:val="1A1A2E"/>
          <w:sz w:val="22"/>
          <w:szCs w:val="22"/>
        </w:rPr>
        <w:t xml:space="preserve">Filing status, income sources, W-2 vs. 1099, capital gains, qualified dividends</w:t>
      </w:r>
    </w:p>
    <w:p>
      <w:pPr>
        <w:pStyle w:val="ListParagraph"/>
        <w:numPr>
          <w:ilvl w:val="0"/>
          <w:numId w:val="2"/>
        </w:numPr>
        <w:spacing w:after="60" w:before="60"/>
      </w:pPr>
      <w:r>
        <w:rPr>
          <w:rFonts w:ascii="Arial" w:cs="Arial" w:eastAsia="Arial" w:hAnsi="Arial"/>
          <w:color w:val="1A1A2E"/>
          <w:sz w:val="22"/>
          <w:szCs w:val="22"/>
        </w:rPr>
        <w:t xml:space="preserve">State of residence (state tax rates vary dramatically: 0% in Texas vs. 13.3% in California)</w:t>
      </w:r>
    </w:p>
    <w:p>
      <w:pPr>
        <w:pStyle w:val="ListParagraph"/>
        <w:numPr>
          <w:ilvl w:val="0"/>
          <w:numId w:val="2"/>
        </w:numPr>
        <w:spacing w:after="60" w:before="60"/>
      </w:pPr>
      <w:r>
        <w:rPr>
          <w:rFonts w:ascii="Arial" w:cs="Arial" w:eastAsia="Arial" w:hAnsi="Arial"/>
          <w:color w:val="1A1A2E"/>
          <w:sz w:val="22"/>
          <w:szCs w:val="22"/>
        </w:rPr>
        <w:t xml:space="preserve">Existing tax-advantaged account usage (HSA, FSA, 401(k), IRA, 529)</w:t>
      </w:r>
    </w:p>
    <w:p>
      <w:pPr>
        <w:pStyle w:val="ListParagraph"/>
        <w:numPr>
          <w:ilvl w:val="0"/>
          <w:numId w:val="2"/>
        </w:numPr>
        <w:spacing w:after="60" w:before="60"/>
      </w:pPr>
      <w:r>
        <w:rPr>
          <w:rFonts w:ascii="Arial" w:cs="Arial" w:eastAsia="Arial" w:hAnsi="Arial"/>
          <w:color w:val="1A1A2E"/>
          <w:sz w:val="22"/>
          <w:szCs w:val="22"/>
        </w:rPr>
        <w:t xml:space="preserve">Life events: marriage, divorce, new child, home purchase, job change</w:t>
      </w:r>
    </w:p>
    <w:p>
      <w:pPr>
        <w:spacing w:after="120" w:before="0"/>
      </w:pPr>
    </w:p>
    <w:p>
      <w:pPr>
        <w:pStyle w:val="Heading3"/>
        <w:spacing w:after="100" w:before="240"/>
      </w:pPr>
      <w:r>
        <w:rPr>
          <w:rFonts w:ascii="Arial" w:cs="Arial" w:eastAsia="Arial" w:hAnsi="Arial"/>
          <w:b/>
          <w:bCs/>
          <w:color w:val="1A7A4A"/>
          <w:sz w:val="22"/>
          <w:szCs w:val="22"/>
        </w:rPr>
        <w:t xml:space="preserve">Tax Optimization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Strategy</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Tax-loss harvesting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Identify losing positions in taxable accounts that can be sold to offset gains, then repurchased after wash sale window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Roth conversion ladders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 low-income years, convert traditional IRA to Roth at low tax rates to reduce future RMDs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HSA maximization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Alert users who are HSA-eligible but not maxing — triple tax advantage is the best deal in the tax code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Backdoor Roth IRA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Guide high earners through the two-step process for Roth contribution access despite income limits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Asset location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Place high-growth assets in Roth, bonds in traditional, dividend stocks in Roth to minimize taxes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I-Bond timing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Recommend Series I Bonds during high-inflation environments for tax-deferred, inflation-protected returns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Capital gains timing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Alert users near the 0% long-term capital gains threshold ($47K single / $94K married in 2024)</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Charitable giving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Donor-advised funds and qualified charitable distributions for those over 70.5</w:t>
            </w:r>
          </w:p>
        </w:tc>
      </w:tr>
    </w:tbl>
    <w:p>
      <w:pPr>
        <w:spacing w:after="120" w:before="0"/>
      </w:pPr>
    </w:p>
    <w:p>
      <w:pPr>
        <w:pStyle w:val="Heading3"/>
        <w:spacing w:after="100" w:before="240"/>
      </w:pPr>
      <w:r>
        <w:rPr>
          <w:rFonts w:ascii="Arial" w:cs="Arial" w:eastAsia="Arial" w:hAnsi="Arial"/>
          <w:b/>
          <w:bCs/>
          <w:color w:val="1A7A4A"/>
          <w:sz w:val="22"/>
          <w:szCs w:val="22"/>
        </w:rPr>
        <w:t xml:space="preserve">Year-Round Tax Awareness</w:t>
      </w:r>
    </w:p>
    <w:p>
      <w:pPr>
        <w:spacing w:after="80" w:before="80"/>
      </w:pPr>
      <w:r>
        <w:rPr>
          <w:rFonts w:ascii="Arial" w:cs="Arial" w:eastAsia="Arial" w:hAnsi="Arial"/>
          <w:color w:val="1A1A2E"/>
          <w:sz w:val="22"/>
          <w:szCs w:val="22"/>
        </w:rPr>
        <w:t xml:space="preserve">Unlike a CPA who sees a user in April, Lasagna is tax-aware all year:</w:t>
      </w:r>
    </w:p>
    <w:p>
      <w:pPr>
        <w:pStyle w:val="ListParagraph"/>
        <w:numPr>
          <w:ilvl w:val="0"/>
          <w:numId w:val="2"/>
        </w:numPr>
        <w:spacing w:after="60" w:before="60"/>
      </w:pPr>
      <w:r>
        <w:rPr>
          <w:rFonts w:ascii="Arial" w:cs="Arial" w:eastAsia="Arial" w:hAnsi="Arial"/>
          <w:color w:val="1A1A2E"/>
          <w:sz w:val="22"/>
          <w:szCs w:val="22"/>
        </w:rPr>
        <w:t xml:space="preserve">"You've had a high-income year. Consider maxing your 401(k) before Dec 31."</w:t>
      </w:r>
    </w:p>
    <w:p>
      <w:pPr>
        <w:pStyle w:val="ListParagraph"/>
        <w:numPr>
          <w:ilvl w:val="0"/>
          <w:numId w:val="2"/>
        </w:numPr>
        <w:spacing w:after="60" w:before="60"/>
      </w:pPr>
      <w:r>
        <w:rPr>
          <w:rFonts w:ascii="Arial" w:cs="Arial" w:eastAsia="Arial" w:hAnsi="Arial"/>
          <w:color w:val="1A1A2E"/>
          <w:sz w:val="22"/>
          <w:szCs w:val="22"/>
        </w:rPr>
        <w:t xml:space="preserve">"You have $8,200 in unrealized losses in your brokerage. Harvesting now could save you $1,900 in taxes."</w:t>
      </w:r>
    </w:p>
    <w:p>
      <w:pPr>
        <w:pStyle w:val="ListParagraph"/>
        <w:numPr>
          <w:ilvl w:val="0"/>
          <w:numId w:val="2"/>
        </w:numPr>
        <w:spacing w:after="60" w:before="60"/>
      </w:pPr>
      <w:r>
        <w:rPr>
          <w:rFonts w:ascii="Arial" w:cs="Arial" w:eastAsia="Arial" w:hAnsi="Arial"/>
          <w:color w:val="1A1A2E"/>
          <w:sz w:val="22"/>
          <w:szCs w:val="22"/>
        </w:rPr>
        <w:t xml:space="preserve">"Your income this year puts you in the 22% bracket. Converting $12K to Roth before you hit 24% could save you $240."</w:t>
      </w:r>
    </w:p>
    <w:p>
      <w:pPr>
        <w:pStyle w:val="ListParagraph"/>
        <w:numPr>
          <w:ilvl w:val="0"/>
          <w:numId w:val="2"/>
        </w:numPr>
        <w:spacing w:after="60" w:before="60"/>
      </w:pPr>
      <w:r>
        <w:rPr>
          <w:rFonts w:ascii="Arial" w:cs="Arial" w:eastAsia="Arial" w:hAnsi="Arial"/>
          <w:color w:val="1A1A2E"/>
          <w:sz w:val="22"/>
          <w:szCs w:val="22"/>
        </w:rPr>
        <w:t xml:space="preserve">Tax projection: real-time estimated tax liability based on YTD income and events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60" w:before="0"/>
            </w:pPr>
            <w:r>
              <w:rPr>
                <w:rFonts w:ascii="Arial" w:cs="Arial" w:eastAsia="Arial" w:hAnsi="Arial"/>
                <w:b/>
                <w:bCs/>
                <w:color w:val="1A7A4A"/>
                <w:sz w:val="20"/>
                <w:szCs w:val="20"/>
              </w:rPr>
              <w:t xml:space="preserve">Compliance Note</w:t>
            </w:r>
          </w:p>
          <w:p>
            <w:pPr>
              <w:spacing w:after="0" w:before="0"/>
            </w:pPr>
            <w:r>
              <w:rPr>
                <w:rFonts w:ascii="Arial" w:cs="Arial" w:eastAsia="Arial" w:hAnsi="Arial"/>
                <w:color w:val="1A1A2E"/>
                <w:sz w:val="20"/>
                <w:szCs w:val="20"/>
              </w:rPr>
              <w:t xml:space="preserve">Lasagna provides education and personalized guidance but does not file taxes, execute trades, or provide legally binding tax advice. All Lasagna recommendations include a clear disclosure that the user should consult a CPA or tax professional for complex situations. Lasagna is a tool, not a licensed tax advisor.</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5. Product Experience</w:t>
      </w:r>
    </w:p>
    <w:p>
      <w:pPr>
        <w:pStyle w:val="Heading2"/>
        <w:spacing w:after="120" w:before="320"/>
      </w:pPr>
      <w:r>
        <w:rPr>
          <w:rFonts w:ascii="Arial" w:cs="Arial" w:eastAsia="Arial" w:hAnsi="Arial"/>
          <w:b/>
          <w:bCs/>
          <w:color w:val="1A1A2E"/>
          <w:sz w:val="26"/>
          <w:szCs w:val="26"/>
        </w:rPr>
        <w:t xml:space="preserve">5.1 Conversational Interface</w:t>
      </w:r>
    </w:p>
    <w:p>
      <w:pPr>
        <w:spacing w:after="80" w:before="80"/>
      </w:pPr>
      <w:r>
        <w:rPr>
          <w:rFonts w:ascii="Arial" w:cs="Arial" w:eastAsia="Arial" w:hAnsi="Arial"/>
          <w:color w:val="1A1A2E"/>
          <w:sz w:val="22"/>
          <w:szCs w:val="22"/>
        </w:rPr>
        <w:t xml:space="preserve">Lasagna's primary interface is a conversational AI — think a knowledgeable, patient friend who happens to know a lot about money. Users can ask anything, from simple questions like "Should I pay off my car loan or invest?" to complex scenarios like "I just got a $40K inheritance, my wife and I have a 3-year-old, we want to retire at 55, and we have $22K in student loans — what do we do?"</w:t>
      </w:r>
    </w:p>
    <w:p>
      <w:pPr>
        <w:spacing w:after="120" w:before="0"/>
      </w:pPr>
    </w:p>
    <w:p>
      <w:pPr>
        <w:spacing w:after="80" w:before="80"/>
      </w:pPr>
      <w:r>
        <w:rPr>
          <w:rFonts w:ascii="Arial" w:cs="Arial" w:eastAsia="Arial" w:hAnsi="Arial"/>
          <w:color w:val="1A1A2E"/>
          <w:sz w:val="22"/>
          <w:szCs w:val="22"/>
        </w:rPr>
        <w:t xml:space="preserve">The AI is:</w:t>
      </w:r>
    </w:p>
    <w:p>
      <w:pPr>
        <w:pStyle w:val="ListParagraph"/>
        <w:numPr>
          <w:ilvl w:val="0"/>
          <w:numId w:val="2"/>
        </w:numPr>
        <w:spacing w:after="60" w:before="60"/>
      </w:pPr>
      <w:r>
        <w:rPr>
          <w:rFonts w:ascii="Arial" w:cs="Arial" w:eastAsia="Arial" w:hAnsi="Arial"/>
          <w:color w:val="1A1A2E"/>
          <w:sz w:val="22"/>
          <w:szCs w:val="22"/>
        </w:rPr>
        <w:t xml:space="preserve">Judgment-free: no shame about debt levels, spending habits, or past mistakes</w:t>
      </w:r>
    </w:p>
    <w:p>
      <w:pPr>
        <w:pStyle w:val="ListParagraph"/>
        <w:numPr>
          <w:ilvl w:val="0"/>
          <w:numId w:val="2"/>
        </w:numPr>
        <w:spacing w:after="60" w:before="60"/>
      </w:pPr>
      <w:r>
        <w:rPr>
          <w:rFonts w:ascii="Arial" w:cs="Arial" w:eastAsia="Arial" w:hAnsi="Arial"/>
          <w:color w:val="1A1A2E"/>
          <w:sz w:val="22"/>
          <w:szCs w:val="22"/>
        </w:rPr>
        <w:t xml:space="preserve">Plain-language first: no jargon without explanation</w:t>
      </w:r>
    </w:p>
    <w:p>
      <w:pPr>
        <w:pStyle w:val="ListParagraph"/>
        <w:numPr>
          <w:ilvl w:val="0"/>
          <w:numId w:val="2"/>
        </w:numPr>
        <w:spacing w:after="60" w:before="60"/>
      </w:pPr>
      <w:r>
        <w:rPr>
          <w:rFonts w:ascii="Arial" w:cs="Arial" w:eastAsia="Arial" w:hAnsi="Arial"/>
          <w:color w:val="1A1A2E"/>
          <w:sz w:val="22"/>
          <w:szCs w:val="22"/>
        </w:rPr>
        <w:t xml:space="preserve">Opinionated when helpful: gives a recommendation, not just a list of options</w:t>
      </w:r>
    </w:p>
    <w:p>
      <w:pPr>
        <w:pStyle w:val="ListParagraph"/>
        <w:numPr>
          <w:ilvl w:val="0"/>
          <w:numId w:val="2"/>
        </w:numPr>
        <w:spacing w:after="60" w:before="60"/>
      </w:pPr>
      <w:r>
        <w:rPr>
          <w:rFonts w:ascii="Arial" w:cs="Arial" w:eastAsia="Arial" w:hAnsi="Arial"/>
          <w:color w:val="1A1A2E"/>
          <w:sz w:val="22"/>
          <w:szCs w:val="22"/>
        </w:rPr>
        <w:t xml:space="preserve">Transparent about uncertainty: distinguishes between established best practices and situational tradeoffs</w:t>
      </w:r>
    </w:p>
    <w:p>
      <w:pPr>
        <w:spacing w:after="120" w:before="0"/>
      </w:pPr>
    </w:p>
    <w:p>
      <w:pPr>
        <w:pStyle w:val="Heading2"/>
        <w:spacing w:after="120" w:before="320"/>
      </w:pPr>
      <w:r>
        <w:rPr>
          <w:rFonts w:ascii="Arial" w:cs="Arial" w:eastAsia="Arial" w:hAnsi="Arial"/>
          <w:b/>
          <w:bCs/>
          <w:color w:val="1A1A2E"/>
          <w:sz w:val="26"/>
          <w:szCs w:val="26"/>
        </w:rPr>
        <w:t xml:space="preserve">5.2 Financial Dashboard</w:t>
      </w:r>
    </w:p>
    <w:p>
      <w:pPr>
        <w:spacing w:after="80" w:before="80"/>
      </w:pPr>
      <w:r>
        <w:rPr>
          <w:rFonts w:ascii="Arial" w:cs="Arial" w:eastAsia="Arial" w:hAnsi="Arial"/>
          <w:color w:val="1A1A2E"/>
          <w:sz w:val="22"/>
          <w:szCs w:val="22"/>
        </w:rPr>
        <w:t xml:space="preserve">Beyond conversation, Lasagna maintains a persistent financial dashboard showing:</w:t>
      </w:r>
    </w:p>
    <w:p>
      <w:pPr>
        <w:pStyle w:val="ListParagraph"/>
        <w:numPr>
          <w:ilvl w:val="0"/>
          <w:numId w:val="2"/>
        </w:numPr>
        <w:spacing w:after="60" w:before="60"/>
      </w:pPr>
      <w:r>
        <w:rPr>
          <w:rFonts w:ascii="Arial" w:cs="Arial" w:eastAsia="Arial" w:hAnsi="Arial"/>
          <w:color w:val="1A1A2E"/>
          <w:sz w:val="22"/>
          <w:szCs w:val="22"/>
        </w:rPr>
        <w:t xml:space="preserve">Net worth over time (liabilities and assets)</w:t>
      </w:r>
    </w:p>
    <w:p>
      <w:pPr>
        <w:pStyle w:val="ListParagraph"/>
        <w:numPr>
          <w:ilvl w:val="0"/>
          <w:numId w:val="2"/>
        </w:numPr>
        <w:spacing w:after="60" w:before="60"/>
      </w:pPr>
      <w:r>
        <w:rPr>
          <w:rFonts w:ascii="Arial" w:cs="Arial" w:eastAsia="Arial" w:hAnsi="Arial"/>
          <w:color w:val="1A1A2E"/>
          <w:sz w:val="22"/>
          <w:szCs w:val="22"/>
        </w:rPr>
        <w:t xml:space="preserve">Debt payoff progress and projected free date</w:t>
      </w:r>
    </w:p>
    <w:p>
      <w:pPr>
        <w:pStyle w:val="ListParagraph"/>
        <w:numPr>
          <w:ilvl w:val="0"/>
          <w:numId w:val="2"/>
        </w:numPr>
        <w:spacing w:after="60" w:before="60"/>
      </w:pPr>
      <w:r>
        <w:rPr>
          <w:rFonts w:ascii="Arial" w:cs="Arial" w:eastAsia="Arial" w:hAnsi="Arial"/>
          <w:color w:val="1A1A2E"/>
          <w:sz w:val="22"/>
          <w:szCs w:val="22"/>
        </w:rPr>
        <w:t xml:space="preserve">Portfolio allocation vs. target</w:t>
      </w:r>
    </w:p>
    <w:p>
      <w:pPr>
        <w:pStyle w:val="ListParagraph"/>
        <w:numPr>
          <w:ilvl w:val="0"/>
          <w:numId w:val="2"/>
        </w:numPr>
        <w:spacing w:after="60" w:before="60"/>
      </w:pPr>
      <w:r>
        <w:rPr>
          <w:rFonts w:ascii="Arial" w:cs="Arial" w:eastAsia="Arial" w:hAnsi="Arial"/>
          <w:color w:val="1A1A2E"/>
          <w:sz w:val="22"/>
          <w:szCs w:val="22"/>
        </w:rPr>
        <w:t xml:space="preserve">Estimated tax liability YTD</w:t>
      </w:r>
    </w:p>
    <w:p>
      <w:pPr>
        <w:pStyle w:val="ListParagraph"/>
        <w:numPr>
          <w:ilvl w:val="0"/>
          <w:numId w:val="2"/>
        </w:numPr>
        <w:spacing w:after="60" w:before="60"/>
      </w:pPr>
      <w:r>
        <w:rPr>
          <w:rFonts w:ascii="Arial" w:cs="Arial" w:eastAsia="Arial" w:hAnsi="Arial"/>
          <w:color w:val="1A1A2E"/>
          <w:sz w:val="22"/>
          <w:szCs w:val="22"/>
        </w:rPr>
        <w:t xml:space="preserve">Next recommended action — always one clear "do this next" item</w:t>
      </w:r>
    </w:p>
    <w:p>
      <w:pPr>
        <w:spacing w:after="120" w:before="0"/>
      </w:pPr>
    </w:p>
    <w:p>
      <w:pPr>
        <w:pStyle w:val="Heading2"/>
        <w:spacing w:after="120" w:before="320"/>
      </w:pPr>
      <w:r>
        <w:rPr>
          <w:rFonts w:ascii="Arial" w:cs="Arial" w:eastAsia="Arial" w:hAnsi="Arial"/>
          <w:b/>
          <w:bCs/>
          <w:color w:val="1A1A2E"/>
          <w:sz w:val="26"/>
          <w:szCs w:val="26"/>
        </w:rPr>
        <w:t xml:space="preserve">5.3 Onboarding</w:t>
      </w:r>
    </w:p>
    <w:p>
      <w:pPr>
        <w:spacing w:after="80" w:before="80"/>
      </w:pPr>
      <w:r>
        <w:rPr>
          <w:rFonts w:ascii="Arial" w:cs="Arial" w:eastAsia="Arial" w:hAnsi="Arial"/>
          <w:color w:val="1A1A2E"/>
          <w:sz w:val="22"/>
          <w:szCs w:val="22"/>
        </w:rPr>
        <w:t xml:space="preserve">The onboarding flow is designed to collect the minimum necessary information to be useful immediately, then fill in more detail over time. A user can get their first personalized recommendation within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Timeframe</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Activity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Minute 1–3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Basic financial situation: income, major debts, whether they have savings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Minute 4–6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Accounts: 401(k) match available? IRA? Brokerage?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Minute 7–9</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Goals: what does financial success look like for them?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Minute 10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First recommendation delivered — specific, actionable, personalized</w:t>
            </w:r>
          </w:p>
        </w:tc>
      </w:tr>
    </w:tbl>
    <w:p>
      <w:pPr>
        <w:spacing w:after="120" w:before="0"/>
      </w:pPr>
    </w:p>
    <w:p>
      <w:pPr>
        <w:pStyle w:val="Heading2"/>
        <w:spacing w:after="120" w:before="320"/>
      </w:pPr>
      <w:r>
        <w:rPr>
          <w:rFonts w:ascii="Arial" w:cs="Arial" w:eastAsia="Arial" w:hAnsi="Arial"/>
          <w:b/>
          <w:bCs/>
          <w:color w:val="1A1A2E"/>
          <w:sz w:val="26"/>
          <w:szCs w:val="26"/>
        </w:rPr>
        <w:t xml:space="preserve">5.4 Accountability &amp; Engagement</w:t>
      </w:r>
    </w:p>
    <w:p>
      <w:pPr>
        <w:spacing w:after="80" w:before="80"/>
      </w:pPr>
      <w:r>
        <w:rPr>
          <w:rFonts w:ascii="Arial" w:cs="Arial" w:eastAsia="Arial" w:hAnsi="Arial"/>
          <w:color w:val="1A1A2E"/>
          <w:sz w:val="22"/>
          <w:szCs w:val="22"/>
        </w:rPr>
        <w:t xml:space="preserve">Financial plans fail at execution, not planning. Lasagna's engagement model is designed to maintain accountability without being annoying:</w:t>
      </w:r>
    </w:p>
    <w:p>
      <w:pPr>
        <w:pStyle w:val="ListParagraph"/>
        <w:numPr>
          <w:ilvl w:val="0"/>
          <w:numId w:val="2"/>
        </w:numPr>
        <w:spacing w:after="60" w:before="60"/>
      </w:pPr>
      <w:r>
        <w:rPr>
          <w:rFonts w:ascii="Arial" w:cs="Arial" w:eastAsia="Arial" w:hAnsi="Arial"/>
          <w:color w:val="1A1A2E"/>
          <w:sz w:val="22"/>
          <w:szCs w:val="22"/>
        </w:rPr>
        <w:t xml:space="preserve">Weekly nudges tied to the user's specific plan, not generic tips</w:t>
      </w:r>
    </w:p>
    <w:p>
      <w:pPr>
        <w:pStyle w:val="ListParagraph"/>
        <w:numPr>
          <w:ilvl w:val="0"/>
          <w:numId w:val="2"/>
        </w:numPr>
        <w:spacing w:after="60" w:before="60"/>
      </w:pPr>
      <w:r>
        <w:rPr>
          <w:rFonts w:ascii="Arial" w:cs="Arial" w:eastAsia="Arial" w:hAnsi="Arial"/>
          <w:color w:val="1A1A2E"/>
          <w:sz w:val="22"/>
          <w:szCs w:val="22"/>
        </w:rPr>
        <w:t xml:space="preserve">Monthly financial reviews: "Here's what changed for you this month."</w:t>
      </w:r>
    </w:p>
    <w:p>
      <w:pPr>
        <w:pStyle w:val="ListParagraph"/>
        <w:numPr>
          <w:ilvl w:val="0"/>
          <w:numId w:val="2"/>
        </w:numPr>
        <w:spacing w:after="60" w:before="60"/>
      </w:pPr>
      <w:r>
        <w:rPr>
          <w:rFonts w:ascii="Arial" w:cs="Arial" w:eastAsia="Arial" w:hAnsi="Arial"/>
          <w:color w:val="1A1A2E"/>
          <w:sz w:val="22"/>
          <w:szCs w:val="22"/>
        </w:rPr>
        <w:t xml:space="preserve">Life event prompts: job change, marriage, baby — moments that require financial plan updates</w:t>
      </w:r>
    </w:p>
    <w:p>
      <w:pPr>
        <w:pStyle w:val="ListParagraph"/>
        <w:numPr>
          <w:ilvl w:val="0"/>
          <w:numId w:val="2"/>
        </w:numPr>
        <w:spacing w:after="60" w:before="60"/>
      </w:pPr>
      <w:r>
        <w:rPr>
          <w:rFonts w:ascii="Arial" w:cs="Arial" w:eastAsia="Arial" w:hAnsi="Arial"/>
          <w:color w:val="1A1A2E"/>
          <w:sz w:val="22"/>
          <w:szCs w:val="22"/>
        </w:rPr>
        <w:t xml:space="preserve">Milestone celebrations that create positive reinforcement loops</w:t>
      </w:r>
    </w:p>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6. Technical Architecture</w:t>
      </w:r>
    </w:p>
    <w:p>
      <w:pPr>
        <w:pStyle w:val="Heading2"/>
        <w:spacing w:after="120" w:before="320"/>
      </w:pPr>
      <w:r>
        <w:rPr>
          <w:rFonts w:ascii="Arial" w:cs="Arial" w:eastAsia="Arial" w:hAnsi="Arial"/>
          <w:b/>
          <w:bCs/>
          <w:color w:val="1A1A2E"/>
          <w:sz w:val="26"/>
          <w:szCs w:val="26"/>
        </w:rPr>
        <w:t xml:space="preserve">6.1 Data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Integration</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Account aggregation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Plaid or MX for bank, brokerage, and debt account linking — balances, transactions, portfolio holdings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Tax data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IRS data import via OAuth (e.g., TurboTax integration or IRS Get Transcript API) for actual income/filing history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Brokerage data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OAuth connections to Fidelity, Schwab, Vanguard, Robinhood for real-time portfolio data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Payroll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Plaid Income or Argyle for income verification and paycheck analysis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Market data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Real-time pricing and fund expense ratio data for portfolio analysis</w:t>
            </w:r>
          </w:p>
        </w:tc>
      </w:tr>
    </w:tbl>
    <w:p>
      <w:pPr>
        <w:spacing w:after="120" w:before="0"/>
      </w:pPr>
    </w:p>
    <w:p>
      <w:pPr>
        <w:pStyle w:val="Heading2"/>
        <w:spacing w:after="120" w:before="320"/>
      </w:pPr>
      <w:r>
        <w:rPr>
          <w:rFonts w:ascii="Arial" w:cs="Arial" w:eastAsia="Arial" w:hAnsi="Arial"/>
          <w:b/>
          <w:bCs/>
          <w:color w:val="1A1A2E"/>
          <w:sz w:val="26"/>
          <w:szCs w:val="26"/>
        </w:rPr>
        <w:t xml:space="preserve">6.2 AI &amp; Personalization</w:t>
      </w:r>
    </w:p>
    <w:p>
      <w:pPr>
        <w:pStyle w:val="ListParagraph"/>
        <w:numPr>
          <w:ilvl w:val="0"/>
          <w:numId w:val="2"/>
        </w:numPr>
        <w:spacing w:after="60" w:before="60"/>
      </w:pPr>
      <w:r>
        <w:rPr>
          <w:rFonts w:ascii="Arial" w:cs="Arial" w:eastAsia="Arial" w:hAnsi="Arial"/>
          <w:color w:val="1A1A2E"/>
          <w:sz w:val="22"/>
          <w:szCs w:val="22"/>
        </w:rPr>
        <w:t xml:space="preserve">Large language model core for conversational interface, powered by leading foundation model with financial fine-tuning</w:t>
      </w:r>
    </w:p>
    <w:p>
      <w:pPr>
        <w:pStyle w:val="ListParagraph"/>
        <w:numPr>
          <w:ilvl w:val="0"/>
          <w:numId w:val="2"/>
        </w:numPr>
        <w:spacing w:after="60" w:before="60"/>
      </w:pPr>
      <w:r>
        <w:rPr>
          <w:rFonts w:ascii="Arial" w:cs="Arial" w:eastAsia="Arial" w:hAnsi="Arial"/>
          <w:color w:val="1A1A2E"/>
          <w:sz w:val="22"/>
          <w:szCs w:val="22"/>
        </w:rPr>
        <w:t xml:space="preserve">Personalization layer: user's complete financial profile injected into every conversation as context</w:t>
      </w:r>
    </w:p>
    <w:p>
      <w:pPr>
        <w:pStyle w:val="ListParagraph"/>
        <w:numPr>
          <w:ilvl w:val="0"/>
          <w:numId w:val="2"/>
        </w:numPr>
        <w:spacing w:after="60" w:before="60"/>
      </w:pPr>
      <w:r>
        <w:rPr>
          <w:rFonts w:ascii="Arial" w:cs="Arial" w:eastAsia="Arial" w:hAnsi="Arial"/>
          <w:color w:val="1A1A2E"/>
          <w:sz w:val="22"/>
          <w:szCs w:val="22"/>
        </w:rPr>
        <w:t xml:space="preserve">Memory: Lasagna remembers what the user has asked, decided, and committed to — no starting over each session</w:t>
      </w:r>
    </w:p>
    <w:p>
      <w:pPr>
        <w:pStyle w:val="ListParagraph"/>
        <w:numPr>
          <w:ilvl w:val="0"/>
          <w:numId w:val="2"/>
        </w:numPr>
        <w:spacing w:after="60" w:before="60"/>
      </w:pPr>
      <w:r>
        <w:rPr>
          <w:rFonts w:ascii="Arial" w:cs="Arial" w:eastAsia="Arial" w:hAnsi="Arial"/>
          <w:color w:val="1A1A2E"/>
          <w:sz w:val="22"/>
          <w:szCs w:val="22"/>
        </w:rPr>
        <w:t xml:space="preserve">Guardrails: financial domain constraints, hallucination mitigation, and mandated uncertainty disclosure</w:t>
      </w:r>
    </w:p>
    <w:p>
      <w:pPr>
        <w:pStyle w:val="ListParagraph"/>
        <w:numPr>
          <w:ilvl w:val="0"/>
          <w:numId w:val="2"/>
        </w:numPr>
        <w:spacing w:after="60" w:before="60"/>
      </w:pPr>
      <w:r>
        <w:rPr>
          <w:rFonts w:ascii="Arial" w:cs="Arial" w:eastAsia="Arial" w:hAnsi="Arial"/>
          <w:color w:val="1A1A2E"/>
          <w:sz w:val="22"/>
          <w:szCs w:val="22"/>
        </w:rPr>
        <w:t xml:space="preserve">Audit trail: all recommendations are logged with the rationale used, creating accountability</w:t>
      </w:r>
    </w:p>
    <w:p>
      <w:pPr>
        <w:spacing w:after="120" w:before="0"/>
      </w:pPr>
    </w:p>
    <w:p>
      <w:pPr>
        <w:pStyle w:val="Heading2"/>
        <w:spacing w:after="120" w:before="320"/>
      </w:pPr>
      <w:r>
        <w:rPr>
          <w:rFonts w:ascii="Arial" w:cs="Arial" w:eastAsia="Arial" w:hAnsi="Arial"/>
          <w:b/>
          <w:bCs/>
          <w:color w:val="1A1A2E"/>
          <w:sz w:val="26"/>
          <w:szCs w:val="26"/>
        </w:rPr>
        <w:t xml:space="preserve">6.3 Compliance &amp; Security</w:t>
      </w:r>
    </w:p>
    <w:p>
      <w:pPr>
        <w:pStyle w:val="ListParagraph"/>
        <w:numPr>
          <w:ilvl w:val="0"/>
          <w:numId w:val="2"/>
        </w:numPr>
        <w:spacing w:after="60" w:before="60"/>
      </w:pPr>
      <w:r>
        <w:rPr>
          <w:rFonts w:ascii="Arial" w:cs="Arial" w:eastAsia="Arial" w:hAnsi="Arial"/>
          <w:color w:val="1A1A2E"/>
          <w:sz w:val="22"/>
          <w:szCs w:val="22"/>
        </w:rPr>
        <w:t xml:space="preserve">Lasagna operates as a financial technology tool, not a registered investment advisor (RIA) — clear user disclosure</w:t>
      </w:r>
    </w:p>
    <w:p>
      <w:pPr>
        <w:pStyle w:val="ListParagraph"/>
        <w:numPr>
          <w:ilvl w:val="0"/>
          <w:numId w:val="2"/>
        </w:numPr>
        <w:spacing w:after="60" w:before="60"/>
      </w:pPr>
      <w:r>
        <w:rPr>
          <w:rFonts w:ascii="Arial" w:cs="Arial" w:eastAsia="Arial" w:hAnsi="Arial"/>
          <w:color w:val="1A1A2E"/>
          <w:sz w:val="22"/>
          <w:szCs w:val="22"/>
        </w:rPr>
        <w:t xml:space="preserve">All data encrypted at rest (AES-256) and in transit (TLS 1.3)</w:t>
      </w:r>
    </w:p>
    <w:p>
      <w:pPr>
        <w:pStyle w:val="ListParagraph"/>
        <w:numPr>
          <w:ilvl w:val="0"/>
          <w:numId w:val="2"/>
        </w:numPr>
        <w:spacing w:after="60" w:before="60"/>
      </w:pPr>
      <w:r>
        <w:rPr>
          <w:rFonts w:ascii="Arial" w:cs="Arial" w:eastAsia="Arial" w:hAnsi="Arial"/>
          <w:color w:val="1A1A2E"/>
          <w:sz w:val="22"/>
          <w:szCs w:val="22"/>
        </w:rPr>
        <w:t xml:space="preserve">SOC 2 Type II compliance from launch</w:t>
      </w:r>
    </w:p>
    <w:p>
      <w:pPr>
        <w:pStyle w:val="ListParagraph"/>
        <w:numPr>
          <w:ilvl w:val="0"/>
          <w:numId w:val="2"/>
        </w:numPr>
        <w:spacing w:after="60" w:before="60"/>
      </w:pPr>
      <w:r>
        <w:rPr>
          <w:rFonts w:ascii="Arial" w:cs="Arial" w:eastAsia="Arial" w:hAnsi="Arial"/>
          <w:color w:val="1A1A2E"/>
          <w:sz w:val="22"/>
          <w:szCs w:val="22"/>
        </w:rPr>
        <w:t xml:space="preserve">FINRA and SEC disclosure requirements embedded in all investment-related outputs</w:t>
      </w:r>
    </w:p>
    <w:p>
      <w:pPr>
        <w:pStyle w:val="ListParagraph"/>
        <w:numPr>
          <w:ilvl w:val="0"/>
          <w:numId w:val="2"/>
        </w:numPr>
        <w:spacing w:after="60" w:before="60"/>
      </w:pPr>
      <w:r>
        <w:rPr>
          <w:rFonts w:ascii="Arial" w:cs="Arial" w:eastAsia="Arial" w:hAnsi="Arial"/>
          <w:color w:val="1A1A2E"/>
          <w:sz w:val="22"/>
          <w:szCs w:val="22"/>
        </w:rPr>
        <w:t xml:space="preserve">No selling of user financial data — business model is subscription only</w:t>
      </w:r>
    </w:p>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7. Business Model</w:t>
      </w:r>
    </w:p>
    <w:p>
      <w:pPr>
        <w:pStyle w:val="Heading2"/>
        <w:spacing w:after="120" w:before="320"/>
      </w:pPr>
      <w:r>
        <w:rPr>
          <w:rFonts w:ascii="Arial" w:cs="Arial" w:eastAsia="Arial" w:hAnsi="Arial"/>
          <w:b/>
          <w:bCs/>
          <w:color w:val="1A1A2E"/>
          <w:sz w:val="26"/>
          <w:szCs w:val="26"/>
        </w:rPr>
        <w:t xml:space="preserve">7.1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Features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Lasagna Free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Basic debt tracking, general financial education, limited AI conversations (20/month)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Lasagna Plus — $12/month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AI advisor, all four modules, account linking, tax intelligence, unlimited conversations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Lasagna Family — $18/month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Plus tier for up to 4 family members, shared net worth dashboard</w:t>
            </w:r>
          </w:p>
        </w:tc>
      </w:tr>
    </w:tbl>
    <w:p>
      <w:pPr>
        <w:spacing w:after="120" w:before="0"/>
      </w:pPr>
    </w:p>
    <w:p>
      <w:pPr>
        <w:spacing w:after="80" w:before="80"/>
      </w:pPr>
      <w:r>
        <w:rPr>
          <w:rFonts w:ascii="Arial" w:cs="Arial" w:eastAsia="Arial" w:hAnsi="Arial"/>
          <w:color w:val="1A1A2E"/>
          <w:sz w:val="22"/>
          <w:szCs w:val="22"/>
        </w:rPr>
        <w:t xml:space="preserve">Pricing is deliberately set below the cost of a single hour with a financial advisor. The value proposition is immediate and obvious.</w:t>
      </w:r>
    </w:p>
    <w:p>
      <w:pPr>
        <w:spacing w:after="120" w:before="0"/>
      </w:pPr>
    </w:p>
    <w:p>
      <w:pPr>
        <w:pStyle w:val="Heading2"/>
        <w:spacing w:after="120" w:before="320"/>
      </w:pPr>
      <w:r>
        <w:rPr>
          <w:rFonts w:ascii="Arial" w:cs="Arial" w:eastAsia="Arial" w:hAnsi="Arial"/>
          <w:b/>
          <w:bCs/>
          <w:color w:val="1A1A2E"/>
          <w:sz w:val="26"/>
          <w:szCs w:val="26"/>
        </w:rPr>
        <w:t xml:space="preserve">7.2 Revenue Principles</w:t>
      </w:r>
    </w:p>
    <w:p>
      <w:pPr>
        <w:pStyle w:val="ListParagraph"/>
        <w:numPr>
          <w:ilvl w:val="0"/>
          <w:numId w:val="2"/>
        </w:numPr>
        <w:spacing w:after="60" w:before="60"/>
      </w:pPr>
      <w:r>
        <w:rPr>
          <w:rFonts w:ascii="Arial" w:cs="Arial" w:eastAsia="Arial" w:hAnsi="Arial"/>
          <w:color w:val="1A1A2E"/>
          <w:sz w:val="22"/>
          <w:szCs w:val="22"/>
        </w:rPr>
        <w:t xml:space="preserve">No commissions: Lasagna never recommends a product based on compensation — this is foundational to trust</w:t>
      </w:r>
    </w:p>
    <w:p>
      <w:pPr>
        <w:pStyle w:val="ListParagraph"/>
        <w:numPr>
          <w:ilvl w:val="0"/>
          <w:numId w:val="2"/>
        </w:numPr>
        <w:spacing w:after="60" w:before="60"/>
      </w:pPr>
      <w:r>
        <w:rPr>
          <w:rFonts w:ascii="Arial" w:cs="Arial" w:eastAsia="Arial" w:hAnsi="Arial"/>
          <w:color w:val="1A1A2E"/>
          <w:sz w:val="22"/>
          <w:szCs w:val="22"/>
        </w:rPr>
        <w:t xml:space="preserve">No AUM fees: users are not penalized for portfolio growth</w:t>
      </w:r>
    </w:p>
    <w:p>
      <w:pPr>
        <w:pStyle w:val="ListParagraph"/>
        <w:numPr>
          <w:ilvl w:val="0"/>
          <w:numId w:val="2"/>
        </w:numPr>
        <w:spacing w:after="60" w:before="60"/>
      </w:pPr>
      <w:r>
        <w:rPr>
          <w:rFonts w:ascii="Arial" w:cs="Arial" w:eastAsia="Arial" w:hAnsi="Arial"/>
          <w:color w:val="1A1A2E"/>
          <w:sz w:val="22"/>
          <w:szCs w:val="22"/>
        </w:rPr>
        <w:t xml:space="preserve">No data monetization: user financial data is never sold or used for advertising</w:t>
      </w:r>
    </w:p>
    <w:p>
      <w:pPr>
        <w:pStyle w:val="ListParagraph"/>
        <w:numPr>
          <w:ilvl w:val="0"/>
          <w:numId w:val="2"/>
        </w:numPr>
        <w:spacing w:after="60" w:before="60"/>
      </w:pPr>
      <w:r>
        <w:rPr>
          <w:rFonts w:ascii="Arial" w:cs="Arial" w:eastAsia="Arial" w:hAnsi="Arial"/>
          <w:color w:val="1A1A2E"/>
          <w:sz w:val="22"/>
          <w:szCs w:val="22"/>
        </w:rPr>
        <w:t xml:space="preserve">Potential future: premium tax filing integration, CPA referral marketplace (transparent referral fee)</w:t>
      </w:r>
    </w:p>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8. Success Metrics</w:t>
      </w:r>
    </w:p>
    <w:p>
      <w:pPr>
        <w:spacing w:after="80" w:before="80"/>
      </w:pPr>
      <w:r>
        <w:rPr>
          <w:rFonts w:ascii="Arial" w:cs="Arial" w:eastAsia="Arial" w:hAnsi="Arial"/>
          <w:color w:val="1A1A2E"/>
          <w:sz w:val="22"/>
          <w:szCs w:val="22"/>
        </w:rPr>
        <w:t xml:space="preserve">Lasagna measures success by the financial outcomes of its users, not engagement metrics. We track:</w:t>
      </w:r>
    </w:p>
    <w:p>
      <w:pPr>
        <w:spacing w:after="120" w:before="0"/>
      </w:pPr>
    </w:p>
    <w:p>
      <w:pPr>
        <w:pStyle w:val="Heading2"/>
        <w:spacing w:after="120" w:before="320"/>
      </w:pPr>
      <w:r>
        <w:rPr>
          <w:rFonts w:ascii="Arial" w:cs="Arial" w:eastAsia="Arial" w:hAnsi="Arial"/>
          <w:b/>
          <w:bCs/>
          <w:color w:val="1A1A2E"/>
          <w:sz w:val="26"/>
          <w:szCs w:val="26"/>
        </w:rPr>
        <w:t xml:space="preserve">8.1 North Star Metric</w:t>
      </w:r>
    </w:p>
    <w:p>
      <w:pPr>
        <w:spacing w:after="80" w:before="80"/>
      </w:pPr>
      <w:r>
        <w:rPr>
          <w:rFonts w:ascii="Arial" w:cs="Arial" w:eastAsia="Arial" w:hAnsi="Arial"/>
          <w:color w:val="1A1A2E"/>
          <w:sz w:val="22"/>
          <w:szCs w:val="22"/>
        </w:rPr>
        <w:t xml:space="preserve">Total financial improvement per active user — measured as the sum of: interest saved on debt, investment returns above a passive benchmark, and estimated tax savings versus no optimization. Reported annually.</w:t>
      </w:r>
    </w:p>
    <w:p>
      <w:pPr>
        <w:spacing w:after="120" w:before="0"/>
      </w:pPr>
    </w:p>
    <w:p>
      <w:pPr>
        <w:pStyle w:val="Heading2"/>
        <w:spacing w:after="120" w:before="320"/>
      </w:pPr>
      <w:r>
        <w:rPr>
          <w:rFonts w:ascii="Arial" w:cs="Arial" w:eastAsia="Arial" w:hAnsi="Arial"/>
          <w:b/>
          <w:bCs/>
          <w:color w:val="1A1A2E"/>
          <w:sz w:val="26"/>
          <w:szCs w:val="26"/>
        </w:rPr>
        <w:t xml:space="preserve">8.2 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Debt payoff rate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 of users with active debt plans who are on or ahead of schedule at 90 days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First investment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of debt-free users who make their first investment within 30 days of clearing high-interest debt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Tax action rate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 of users who act on at least one tax optimization recommendation per year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Weekly active 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of subscribers who engage with Lasagna at least once per week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NPS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Net Promoter Score — target 70+ (consistent with premium financial services)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Retention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Month 12 retention — target 80%+ for Plus subscribers</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9. Phased Roadmap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Scope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Phase 1 (0–6 months)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Debt Command Center + Investing Launchpad. Conversational AI core. Account linking via Plaid. iOS and Android apps. Web app.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Phase 2 (6–12 months)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Tax Intelligence Layer. Risk &amp; Portfolio Intelligence. HSA and 401(k) deep integrations. Rebalancing recommendations.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Phase 3 (12–18 months)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Family plan. Life event playbooks (marriage, baby, job loss, inheritance). CPA referral marketplace for complex situations. Roth conversion optimizer.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Phase 4 (18–24 months)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Estate planning basics. Social Security optimization. Medicare decision support. Retirement income planning (sequence of returns, withdrawal strategy).</w:t>
            </w:r>
          </w:p>
        </w:tc>
      </w:tr>
    </w:tbl>
    <w:p>
      <w:pPr>
        <w:spacing w:after="120" w:before="0"/>
      </w:pPr>
    </w:p>
    <w:p>
      <w:pPr>
        <w:pBdr>
          <w:bottom w:val="single" w:color="A8D5B8" w:sz="4" w:space="1"/>
        </w:pBdr>
        <w:spacing w:after="160" w:before="160"/>
      </w:pPr>
    </w:p>
    <w:p>
      <w:pPr>
        <w:pStyle w:val="Heading1"/>
        <w:spacing w:after="160" w:before="400"/>
      </w:pPr>
      <w:r>
        <w:rPr>
          <w:rFonts w:ascii="Arial" w:cs="Arial" w:eastAsia="Arial" w:hAnsi="Arial"/>
          <w:b/>
          <w:bCs/>
          <w:color w:val="1A7A4A"/>
          <w:sz w:val="36"/>
          <w:szCs w:val="36"/>
        </w:rPr>
        <w:t xml:space="preserve">10.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360"/>
            <w:tcBorders>
              <w:top w:val="single" w:color="D1D5DB" w:sz="1"/>
              <w:left w:val="single" w:color="D1D5DB" w:sz="1"/>
              <w:bottom w:val="single" w:color="D1D5DB" w:sz="1"/>
              <w:right w:val="single" w:color="D1D5DB"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Current Thinking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Regulatory positioning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How does Lasagna stay on the right side of RIA registration requirements? Likely through careful "education vs. advice" framing and qualified disclaimers. Needs legal review per jurisdiction.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Data liability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If a user acts on a Lasagna recommendation and loses money, what is the legal exposure? Terms of service and clear disclosures are critical.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Plaid dependency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Account aggregation through Plaid has reliability and coverage gaps. Evaluate MX as backup.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Hallucination risk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LLM-generated financial advice that is factually wrong could cause real harm. Red-teaming and domain constraint guardrails are a day-1 requirement, not a v2 feature.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1A2E"/>
                <w:sz w:val="20"/>
                <w:szCs w:val="20"/>
              </w:rPr>
              <w:t xml:space="preserve">Engagement without manipulation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1A1A2E"/>
                <w:sz w:val="20"/>
                <w:szCs w:val="20"/>
              </w:rPr>
              <w:t xml:space="preserve">How do we keep users engaged enough to benefit without pushing notification frequency that becomes spam? Needs behavioral design research.</w:t>
            </w:r>
          </w:p>
        </w:tc>
      </w:tr>
    </w:tbl>
    <w:p>
      <w:pPr>
        <w:spacing w:after="120" w:before="0"/>
      </w:pPr>
    </w:p>
    <w:p>
      <w:pPr>
        <w:pBdr>
          <w:bottom w:val="single" w:color="A8D5B8" w:sz="4" w:space="1"/>
        </w:pBdr>
        <w:spacing w:after="160" w:before="160"/>
      </w:pPr>
    </w:p>
    <w:p>
      <w:pPr>
        <w:spacing w:after="240" w:before="0"/>
      </w:pPr>
    </w:p>
    <w:p>
      <w:pPr>
        <w:jc w:val="center"/>
      </w:pPr>
      <w:r>
        <w:rPr>
          <w:rFonts w:ascii="Segoe UI Emoji" w:cs="Segoe UI Emoji" w:eastAsia="Segoe UI Emoji" w:hAnsi="Segoe UI Emoji"/>
          <w:sz w:val="48"/>
          <w:szCs w:val="48"/>
        </w:rPr>
        <w:t xml:space="preserve">🍝</w:t>
      </w:r>
    </w:p>
    <w:p>
      <w:pPr>
        <w:spacing w:after="80" w:before="80"/>
        <w:jc w:val="center"/>
      </w:pPr>
      <w:r>
        <w:rPr>
          <w:rFonts w:ascii="Arial" w:cs="Arial" w:eastAsia="Arial" w:hAnsi="Arial"/>
          <w:i/>
          <w:iCs/>
          <w:color w:val="6B7280"/>
          <w:sz w:val="22"/>
          <w:szCs w:val="22"/>
        </w:rPr>
        <w:t xml:space="preserve">Lasagna — because great financial health is built in layers.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Lasagna — AI Financial Advisor    |    Product Specification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7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2026-04-05T08:10:10.577Z</dcterms:created>
  <dcterms:modified xsi:type="dcterms:W3CDTF">2026-04-05T08:10:10.578Z</dcterms:modified>
</cp:coreProperties>
</file>

<file path=docProps/custom.xml><?xml version="1.0" encoding="utf-8"?>
<Properties xmlns="http://schemas.openxmlformats.org/officeDocument/2006/custom-properties" xmlns:vt="http://schemas.openxmlformats.org/officeDocument/2006/docPropsVTypes"/>
</file>