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ind w:firstLine="0" w:left="0" w:right="0"/>
      </w:pPr>
      <w:r>
        <w:rPr>
          <w:rFonts w:ascii="Arial" w:hAnsi="Arial" w:eastAsia="Arial" w:cs="Arial"/>
          <w:b/>
          <w:sz w:val="24"/>
          <w:szCs w:val="24"/>
          <w:color w:val="000000"/>
        </w:rPr>
        <w:t xml:space="preserve">Supplementary Data 4</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ind w:firstLine="0" w:left="0" w:right="0"/>
      </w:pPr>
      <w:r>
        <w:rPr>
          <w:rFonts w:ascii="Arial" w:hAnsi="Arial" w:eastAsia="Arial" w:cs="Arial"/>
          <w:sz w:val="20"/>
          <w:szCs w:val="20"/>
          <w:color w:val="000000"/>
        </w:rPr>
        <w:t xml:space="preserve">Average change for each vessel category for each FAO area. Estimated changes correspond to the difference between April 2020, when more stringent lockdown measures took place globally, and April 2019, as a reference period. Data ordered by increasing absolute change for `All vessels` category.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start"/>
        <w:tblW w:type="pct" w:w="5000"/>
        <w:tblLook w:firstRow="1" w:lastRow="0" w:firstColumn="0" w:lastColumn="0" w:noHBand="0" w:noVBand="1"/>
      </w:tblPr>
      <w:tr>
        <w:trPr>
          <w:cantSplit/>
          <w:trHeight w:val="188" w:hRule="auto"/>
          <w:tblHeader/>
        </w:trPr>
        <w:tc>
          <w:tcPr>
            <w:gridSpan w:val="13"/>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Suppl. Data 4.</w:t>
            </w:r>
          </w:p>
        </w:tc>
      </w:tr>
      <w:tr>
        <w:trPr>
          <w:cantSplit/>
          <w:trHeight w:val="188" w:hRule="auto"/>
          <w:tblHeader/>
        </w:trPr>
        <w:tc>
          <w:tcPr>
            <w:vMerge w:val="restart"/>
            <w:tcBorders>
              <w:bottom w:val="single" w:sz="1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FAO major area</w:t>
            </w:r>
          </w:p>
        </w:tc>
        <w:tc>
          <w:tcPr>
            <w:gridSpan w:val="2"/>
            <w:tcBorders>
              <w:bottom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All vessels</w:t>
            </w:r>
          </w:p>
        </w:tc>
        <w:tc>
          <w:tcPr>
            <w:gridSpan w:val="2"/>
            <w:tcBorders>
              <w:bottom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Cargo</w:t>
            </w:r>
          </w:p>
        </w:tc>
        <w:tc>
          <w:tcPr>
            <w:gridSpan w:val="2"/>
            <w:tcBorders>
              <w:bottom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Tanker</w:t>
            </w:r>
          </w:p>
        </w:tc>
        <w:tc>
          <w:tcPr>
            <w:gridSpan w:val="2"/>
            <w:tcBorders>
              <w:bottom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Passenger</w:t>
            </w:r>
          </w:p>
        </w:tc>
        <w:tc>
          <w:tcPr>
            <w:gridSpan w:val="2"/>
            <w:tcBorders>
              <w:bottom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Fishing</w:t>
            </w:r>
          </w:p>
        </w:tc>
        <w:tc>
          <w:tcPr>
            <w:gridSpan w:val="2"/>
            <w:tcBorders>
              <w:bottom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Other</w:t>
            </w:r>
          </w:p>
        </w:tc>
      </w:tr>
      <w:tr>
        <w:trPr>
          <w:cantSplit/>
          <w:trHeight w:val="188" w:hRule="auto"/>
          <w:tblHeader/>
        </w:trPr>
        <w:tc>
          <w:tcPr>
            <w:vMerge/>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Absolute change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Relative change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Absolute change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Relative change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Absolute change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Relative change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Absolute change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Relative change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Absolute change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Relative change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Absolute change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Relative change</w:t>
            </w:r>
          </w:p>
        </w:tc>
      </w:tr>
      <w:tr>
        <w:trPr>
          <w:cantSplit/>
          <w:trHeight w:val="188" w:hRule="auto"/>
          <w:tblHeader/>
        </w:trPr>
        <w:tc>
          <w:tcPr>
            <w:vMerge/>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(x10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4"/>
                <w:szCs w:val="14"/>
                <w:color w:val="666666"/>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 vessels/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km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4"/>
                <w:szCs w:val="14"/>
                <w:color w:val="666666"/>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(x10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4"/>
                <w:szCs w:val="14"/>
                <w:color w:val="666666"/>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 vessels/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km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4"/>
                <w:szCs w:val="14"/>
                <w:color w:val="666666"/>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(x10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4"/>
                <w:szCs w:val="14"/>
                <w:color w:val="666666"/>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 vessels/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km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4"/>
                <w:szCs w:val="14"/>
                <w:color w:val="666666"/>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(x10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4"/>
                <w:szCs w:val="14"/>
                <w:color w:val="666666"/>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 vessels/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km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4"/>
                <w:szCs w:val="14"/>
                <w:color w:val="666666"/>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(x10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4"/>
                <w:szCs w:val="14"/>
                <w:color w:val="666666"/>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 vessels/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km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4"/>
                <w:szCs w:val="14"/>
                <w:color w:val="666666"/>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(x10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4"/>
                <w:szCs w:val="14"/>
                <w:color w:val="666666"/>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 vessels/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km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4"/>
                <w:szCs w:val="14"/>
                <w:color w:val="666666"/>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w:t>
            </w:r>
          </w:p>
        </w:tc>
      </w:tr>
      <w:tr>
        <w:trPr>
          <w:cantSplit/>
          <w:trHeight w:val="360" w:hRule="auto"/>
        </w:trPr>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Mediterranean and Black Sea</w:t>
            </w:r>
          </w:p>
        </w:tc>
        <w:tc>
          <w:tcPr>
            <w:tcBorders>
              <w:bottom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-22.50</w:t>
            </w:r>
          </w:p>
        </w:tc>
        <w:tc>
          <w:tcPr>
            <w:tcBorders>
              <w:bottom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-6.9</w:t>
            </w:r>
          </w:p>
        </w:tc>
        <w:tc>
          <w:tcPr>
            <w:tcBorders>
              <w:bottom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-8.10</w:t>
            </w:r>
          </w:p>
        </w:tc>
        <w:tc>
          <w:tcPr>
            <w:tcBorders>
              <w:bottom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-3.9</w:t>
            </w:r>
          </w:p>
        </w:tc>
        <w:tc>
          <w:tcPr>
            <w:tcBorders>
              <w:bottom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6.71</w:t>
            </w:r>
          </w:p>
        </w:tc>
        <w:tc>
          <w:tcPr>
            <w:tcBorders>
              <w:bottom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8.3</w:t>
            </w:r>
          </w:p>
        </w:tc>
        <w:tc>
          <w:tcPr>
            <w:tcBorders>
              <w:bottom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-7.26</w:t>
            </w:r>
          </w:p>
        </w:tc>
        <w:tc>
          <w:tcPr>
            <w:tcBorders>
              <w:bottom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-56.3</w:t>
            </w:r>
          </w:p>
        </w:tc>
        <w:tc>
          <w:tcPr>
            <w:tcBorders>
              <w:bottom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-1.27</w:t>
            </w:r>
          </w:p>
        </w:tc>
        <w:tc>
          <w:tcPr>
            <w:tcBorders>
              <w:bottom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-13.6</w:t>
            </w:r>
          </w:p>
        </w:tc>
        <w:tc>
          <w:tcPr>
            <w:tcBorders>
              <w:bottom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-14.72</w:t>
            </w:r>
          </w:p>
        </w:tc>
        <w:tc>
          <w:tcPr>
            <w:tcBorders>
              <w:bottom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-49.0</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Atlantic, Northeast</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-11.37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-2.97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-32.2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-6.89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-25.9</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Atlantic, Northwest</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-10.46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-4.94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2.8</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Atlantic, Western Central</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-5.99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-3.28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-29.1</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Atlantic, Eastern Central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-8.4</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Arctic Sea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-42.7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Pacific, Northeast</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-13.8</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Pacific, Southeast</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-48.4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Pacific, Western Central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Indian Ocean, Eastern</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-12.5</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Indian Ocean, Antarctic</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-34.0</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Atlantic, Southwest</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Pacific, Antarctic</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Pacific, Southwest</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35.1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Atlantic, Antarctic</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Pacific, Eastern Central</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6.5</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Indian Ocean, Western</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Atlantic, Southeast</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-28.4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-17.5</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Pacific, Northwest</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11.22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45.5</w:t>
            </w:r>
          </w:p>
        </w:tc>
      </w:tr>
    </w:tbl>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379FE" w:rsidSect="00747CCE">
          <w:type xmlns:w="http://schemas.openxmlformats.org/wordprocessingml/2006/main" w:val="oddPage"/>
          <w:pgSz w:w="16840" w:h="11900" w:orient="landscape"/>
          <w:pgMar w:top="1417" w:right="1417" w:bottom="1417" w:left="1417" w:header="708" w:footer="708" w:gutter="0"/>
          <w:cols xmlns:w="http://schemas.openxmlformats.org/wordprocessingml/2006/main"/>
          <w:docGrid w:linePitch="360"/>
        </w:sectPr>
      </w:pPr>
    </w:p>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2020-07-17T19:29:57Z</dcterms:modified>
  <cp:category/>
</cp:coreProperties>
</file>