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1B3A5C"/>
          <w:sz w:val="32"/>
          <w:szCs w:val="32"/>
        </w:rPr>
        <w:t xml:space="preserve">SICONIC ERP</w:t>
      </w:r>
    </w:p>
    <w:p>
      <w:pPr>
        <w:spacing w:after="100"/>
        <w:jc w:val="center"/>
      </w:pPr>
      <w:r>
        <w:rPr>
          <w:b/>
          <w:bCs/>
          <w:color w:val="1B3A5C"/>
          <w:sz w:val="44"/>
          <w:szCs w:val="44"/>
        </w:rPr>
        <w:t xml:space="preserve">MANUAL DEL MÓDULO DE NÓMINA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Empleados · Planilla · Prestaciones Sociales · Vacaciones y Enfermedad · Reportes</w:t>
      </w:r>
    </w:p>
    <w:p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Código del Trabajo de Nicaragua · Ley 539 (INSS) · Ley 822 (LCT)</w:t>
      </w:r>
    </w:p>
    <w:p>
      <w:pPr>
        <w:spacing w:after="1200"/>
        <w:jc w:val="center"/>
      </w:pPr>
      <w:r>
        <w:rPr>
          <w:color w:val="555555"/>
          <w:sz w:val="20"/>
          <w:szCs w:val="20"/>
        </w:rPr>
        <w:t xml:space="preserve">Agosto 2026 · Versión 1.0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F5CBA7" w:sz="4"/>
              <w:left w:val="single" w:color="F5CBA7" w:sz="4"/>
              <w:bottom w:val="single" w:color="F5CBA7" w:sz="4"/>
              <w:right w:val="single" w:color="F5CBA7" w:sz="4"/>
            </w:tcBorders>
            <w:shd w:fill="FFF7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Antes de empezar</w:t>
            </w:r>
          </w:p>
          <w:p>
            <w:r>
              <w:t xml:space="preserve">Este manual describe el módulo de Nómina tal como funciona hoy en el sistema, incluyendo qué partes ya están automatizadas y cuáles todavía requieren un paso manual del usuario. Se señalan explícitamente al final los dos flujos que aún están pendientes de construir.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</w:pPr>
      <w:r>
        <w:t xml:space="preserve">1. Dónde encontrar cada pantalla</w:t>
      </w:r>
    </w:p>
    <w:p>
      <w:pPr>
        <w:spacing w:after="150"/>
      </w:pPr>
      <w:r>
        <w:t xml:space="preserve">Todo el módulo vive bajo Dashboard → Nómina. Desde ahí, cinco tarjetas llevan a cada pantalla: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50"/>
      </w:tblGrid>
      <w:tr>
        <w:trPr>
          <w:tblHeader/>
        </w:trPr>
        <w:tc>
          <w:tcPr>
            <w:tcW w:type="dxa" w:w="28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28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375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Empleados y Cargos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/dashboard/nomina/empleados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Alta, edición y baja de empleados; catálogo de puestos</w:t>
            </w:r>
          </w:p>
        </w:tc>
      </w:tr>
      <w:tr>
        <w:tc>
          <w:tcPr>
            <w:tcW w:type="dxa" w:w="2800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Planilla Salarial</w:t>
            </w:r>
          </w:p>
        </w:tc>
        <w:tc>
          <w:tcPr>
            <w:tcW w:type="dxa" w:w="2800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/dashboard/nomina/planilla</w:t>
            </w:r>
          </w:p>
        </w:tc>
        <w:tc>
          <w:tcPr>
            <w:tcW w:type="dxa" w:w="3750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Generar la planilla mensual con INSS, IR, INATEC y provisiones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Prestaciones Sociales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/dashboard/nomina/prestaciones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 el acumulado de vacaciones, aguinaldo e indemnización por empleado</w:t>
            </w:r>
          </w:p>
        </w:tc>
      </w:tr>
      <w:tr>
        <w:tc>
          <w:tcPr>
            <w:tcW w:type="dxa" w:w="2800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Vacaciones y Enfermedad</w:t>
            </w:r>
          </w:p>
        </w:tc>
        <w:tc>
          <w:tcPr>
            <w:tcW w:type="dxa" w:w="2800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/dashboard/nomina/ausencias</w:t>
            </w:r>
          </w:p>
        </w:tc>
        <w:tc>
          <w:tcPr>
            <w:tcW w:type="dxa" w:w="3750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vacaciones descansadas, pagadas e incapacidades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Reportes INSS / INATEC / IR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/dashboard/nomina/reportes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Reportes listos para declarar ante INSS, INATEC y DGI</w:t>
            </w:r>
          </w:p>
        </w:tc>
      </w:tr>
    </w:tbl>
    <w:p>
      <w:pPr>
        <w:spacing w:after="100"/>
      </w:pPr>
    </w:p>
    <w:p>
      <w:pPr>
        <w:spacing w:after="150"/>
      </w:pPr>
      <w:r>
        <w:t xml:space="preserve">El acceso a todo el módulo requiere el permiso nomina_ver (lectura) o nomina_editar (para registrar y modificar). Un usuario con rol de ventas o cajero no puede ver salarios ni planillas, aunque intente entrar por la URL directamente — la base de datos bloquea la consulta, no solo el menú.</w:t>
      </w:r>
    </w:p>
    <w:p>
      <w:pPr>
        <w:pStyle w:val="Heading1"/>
        <w:spacing w:after="200" w:before="400"/>
      </w:pPr>
      <w:r>
        <w:t xml:space="preserve">2. Empleados y Cargos</w:t>
      </w:r>
    </w:p>
    <w:p>
      <w:pPr>
        <w:spacing w:after="150"/>
      </w:pPr>
      <w:r>
        <w:t xml:space="preserve">Aquí se da de alta cada empleado con los datos que exige la ley para nómina y liquidación: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Nombre completo, cédula, número INSS.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Cargo y departamento (catálogo reutilizable entre empleados).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Salario base mensual.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Fecha de ingreso — es la que el sistema usa para calcular la antigüedad y la tasa correcta de indemnización (ver sección 4).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Régimen INSS: integral (7% laboral / patronal completo), IVM-RP (solo vejez, invalidez y muerte, 4%), o facultativo (sin descuento en planilla).</w:t>
      </w:r>
    </w:p>
    <w:p>
      <w:pPr>
        <w:spacing w:after="150"/>
      </w:pPr>
      <w:r>
        <w:t xml:space="preserve">Cambiar el salario de un empleado desde su ficha queda registrado en Historial Salarial con fecha y motivo — es la evidencia que pide un auditor o el MITRAB si hay una disputa.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F5CBA7" w:sz="4"/>
              <w:left w:val="single" w:color="F5CBA7" w:sz="4"/>
              <w:bottom w:val="single" w:color="F5CBA7" w:sz="4"/>
              <w:right w:val="single" w:color="F5CBA7" w:sz="4"/>
            </w:tcBorders>
            <w:shd w:fill="FFF7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Dar de baja hoy</w:t>
            </w:r>
          </w:p>
          <w:p>
            <w:r>
              <w:t xml:space="preserve">El botón para desactivar un empleado solo cambia su estado a "inactivo" y lo saca de las próximas planillas. Todavía NO calcula ni paga la liquidación (vacaciones, aguinaldo proporcional, indemnización) — ver sección 6, "Lo que falta".</w:t>
            </w:r>
          </w:p>
        </w:tc>
      </w:tr>
    </w:tbl>
    <w:p>
      <w:pPr>
        <w:pStyle w:val="Heading1"/>
        <w:spacing w:after="200" w:before="400"/>
      </w:pPr>
      <w:r>
        <w:t xml:space="preserve">3. Planilla Salarial (flujo mensual)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Entre a Planilla → Nueva. El sistema carga los empleados activos con su salario base.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Ajuste por empleado lo que corresponda: días trabajados (si tuvo ausencias sin goce, ingrese menos de 30), horas extra, comisiones, bonificaciones, adelantos y otros descuentos.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Pulse Calcular. El sistema aplica automáticamente: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INSS laboral 7% — deducción al empleado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INSS patronal 21.5% o 22.5% según el tamaño de la empresa — gasto de la empresa, no se descuenta al empleado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INATEC 2% — gasto de la empresa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IR laboral — tabla progresiva del Art. 23 LCT, con método de acumulado anual para no sobre ni sub-retener por variaciones mensuales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Provisión de vacaciones — 8.33% del salario bruto (1 mes por año, Art. 76 CT)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Provisión de aguinaldo — 8.33% del salario bruto (1 mes en diciembre, Art. 93 CT)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Provisión de indemnización — tasa progresiva según antigüedad (ver sección 4)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Guarde la planilla: queda en estado calculada. Todavía no genera asiento contable.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Apruebe y contabilice: ahí se genera el asiento de devengado (gastos contra pasivos por pagar) y recién entonces el gasto de nómina impacta los estados financieros.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Pague por banco o caja: registra el desembolso del neto a cada empleado y marca la planilla como pagada.</w:t>
      </w:r>
    </w:p>
    <w:p>
      <w:pPr>
        <w:spacing w:after="150"/>
      </w:pPr>
      <w:r>
        <w:t xml:space="preserve">Regla práctica: una planilla por mes por empresa. Si se equivocó en algún dato, corríjala antes de aprobarla — una vez aprobada y contabilizada, ya no se edita.</w:t>
      </w:r>
    </w:p>
    <w:p>
      <w:pPr>
        <w:pStyle w:val="Heading1"/>
        <w:spacing w:after="200" w:before="400"/>
      </w:pPr>
      <w:r>
        <w:t xml:space="preserve">4. Prestaciones Sociales</w:t>
      </w:r>
    </w:p>
    <w:p>
      <w:pPr>
        <w:spacing w:after="150"/>
      </w:pPr>
      <w:r>
        <w:t xml:space="preserve">Esta pantalla muestra, por empleado, lo que la empresa ya le debe en tres conceptos que se acumulan automáticamente cada vez que se calcula una planilla: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2550"/>
      </w:tblGrid>
      <w:tr>
        <w:trPr>
          <w:tblHeader/>
        </w:trPr>
        <w:tc>
          <w:tcPr>
            <w:tcW w:type="dxa" w:w="25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43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se acumula</w:t>
            </w:r>
          </w:p>
        </w:tc>
        <w:tc>
          <w:tcPr>
            <w:tcW w:type="dxa" w:w="255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Cuándo se paga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Vacaciones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8.33% del salario bruto cada mes (30 días/año, Art. 76 CT)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Cuando el empleado descansa, se paga sin descansar, o al liquidarlo</w:t>
            </w:r>
          </w:p>
        </w:tc>
      </w:tr>
      <w:tr>
        <w:tc>
          <w:tcPr>
            <w:tcW w:type="dxa" w:w="2500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Aguinaldo</w:t>
            </w:r>
          </w:p>
        </w:tc>
        <w:tc>
          <w:tcPr>
            <w:tcW w:type="dxa" w:w="4300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8.33% del salario bruto cada mes (Art. 93 CT)</w:t>
            </w:r>
          </w:p>
        </w:tc>
        <w:tc>
          <w:tcPr>
            <w:tcW w:type="dxa" w:w="2550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Primera quincena de diciembre, o proporcional al liquidar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Indemnización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Tasa progresiva por antigüedad (ver abajo)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Solo al terminar la relación laboral (salvo despido con causa justa)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4.1 Indemnización por antigüedad — tasa correcta (Art. 45 CT)</w:t>
      </w:r>
    </w:p>
    <w:p>
      <w:pPr>
        <w:spacing w:after="150"/>
      </w:pPr>
      <w:r>
        <w:t xml:space="preserve">La indemnización NO se acumula igual todos los años. El sistema ahora calcula la tasa exacta según cuántos años completos lleva cada empleado, usando su fecha de ingreso: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Primeros 3 años de servicio continuo: 1 mes de salario por año (8.33% mensual).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Del 4to año en adelante: 20 días de salario por año (5.56% mensual).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Tope legal: nunca más de 5 meses de salario acumulados en total, sin importar la antigüedad. El sistema recorta automáticamente la provisión del mes si ya se alcanzó ese tope.</w:t>
      </w:r>
    </w:p>
    <w:p>
      <w:pPr>
        <w:spacing w:after="150"/>
      </w:pPr>
      <w:r>
        <w:t xml:space="preserve">Esto corrige un cálculo anterior que aplicaba 8.33% de forma plana sin importar los años trabajados, lo que sobreestimaba el pasivo de los empleados con más de 3 años de antigüedad.</w:t>
      </w:r>
    </w:p>
    <w:p>
      <w:pPr>
        <w:pStyle w:val="Heading1"/>
        <w:spacing w:after="200" w:before="400"/>
      </w:pPr>
      <w:r>
        <w:t xml:space="preserve">5. Vacaciones y Enfermedad</w:t>
      </w:r>
    </w:p>
    <w:p>
      <w:pPr>
        <w:spacing w:after="150"/>
      </w:pPr>
      <w:r>
        <w:t xml:space="preserve">Pantalla nueva: Nómina → Vacaciones y Enfermedad. Es la bitácora detallada de cada ausencia — antes solo existían dos contadores sin historial (días acumulados y días gozados); ahora cada evento queda registrado con fecha, tipo y monto.</w:t>
      </w:r>
    </w:p>
    <w:p>
      <w:pPr>
        <w:pStyle w:val="Heading2"/>
        <w:spacing w:after="150" w:before="300"/>
      </w:pPr>
      <w:r>
        <w:t xml:space="preserve">5.1 Tipos de registro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Vacación descansada — el empleado efectivamente descansa. Resta días del acumulado y suma a "días gozados".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Vacación pagada sin descanso — se le paga en lugar de darle el descanso. Resta días del acumulado, pero se cuenta aparte en "días pagados" (no se mezcla con los que sí descansó).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Incapacidad por enfermedad — registra los días de reposo médico. No afecta el acumulado de vacaciones/aguinaldo/indemnización directamente; ese efecto ya ocurre solo al reducir los "días trabajados" en la planilla del mes.</w:t>
      </w:r>
    </w:p>
    <w:p>
      <w:pPr>
        <w:pStyle w:val="Heading2"/>
        <w:spacing w:after="150" w:before="300"/>
      </w:pPr>
      <w:r>
        <w:t xml:space="preserve">5.2 Cómo se registra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Elija el empleado — el sistema muestra de inmediato cuántos días de vacaciones tiene disponibles (acumulados menos ya gozados o pagados).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Elija el tipo, y las fechas de inicio y fin — los días se calculan solos, pero se pueden ajustar.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Si es vacación pagada, el sistema no lo bloquea, pero muestra una advertencia: la ley exige que las vacaciones se descansen (Art. 76-80 CT); pagarlas sin descanso durante el empleo activo puede generar responsabilidad ante el MITRAB. Solo en la liquidación final es plenamente libre.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Si es incapacidad, indique el número de certificado/reposo INSS si lo tiene, y cuántos de los primeros 3 días cubre la empresa (por defecto, ninguno).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2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Subsidio INSS por enfermedad</w:t>
            </w:r>
          </w:p>
          <w:p>
            <w:r>
              <w:t xml:space="preserve">El Reglamento de la Ley 539 establece que el INSS cubre el 60% del salario promedio desde el 4to día de incapacidad. Los primeros 3 días ("días de espera") no tienen una obligación legal única de pago por parte del empleador — el sistema lo deja configurable según la política de cada empresa. El cálculo usa el salario actual del empleado como base; la norma técnica exige el promedio de las últimas 8 semanas cotizadas, así que conviene verificarlo con su contador si el empleado tuvo cambios de salario recientes.</w:t>
            </w:r>
          </w:p>
        </w:tc>
      </w:tr>
    </w:tbl>
    <w:p>
      <w:pPr>
        <w:spacing w:after="100"/>
      </w:pPr>
    </w:p>
    <w:p>
      <w:pPr>
        <w:spacing w:after="150"/>
      </w:pPr>
      <w:r>
        <w:t xml:space="preserve">Cualquier registro se puede anular (no se borra, para no perder el rastro) — anularlo revierte automáticamente su efecto en los días y montos acumulados.</w:t>
      </w:r>
    </w:p>
    <w:p>
      <w:pPr>
        <w:pStyle w:val="Heading1"/>
        <w:spacing w:after="200" w:before="400"/>
      </w:pPr>
      <w:r>
        <w:t xml:space="preserve">6. Reportes de Nómina</w:t>
      </w:r>
    </w:p>
    <w:p>
      <w:pPr>
        <w:spacing w:after="150"/>
      </w:pPr>
      <w:r>
        <w:t xml:space="preserve">En Nómina → Reportes se generan, con base en las planillas ya aprobadas: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Reporte INSS — salarios y cotizaciones del mes, en el formato que usa el SIE del INSS.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Reporte INATEC — base del 2% mensual.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IR laboral — retenciones por empleado, listas para la declaración ante la DGI (renglón de rentas del trabajo).</w:t>
      </w:r>
    </w:p>
    <w:p>
      <w:pPr>
        <w:spacing w:after="150"/>
      </w:pPr>
      <w:r>
        <w:t xml:space="preserve">Los contratados por honorarios o servicios profesionales (no asalariados) no van en nómina: se registran como compras con retención código 27 (10%).</w:t>
      </w:r>
    </w:p>
    <w:p>
      <w:pPr>
        <w:pStyle w:val="Heading1"/>
        <w:spacing w:after="200" w:before="400"/>
      </w:pPr>
      <w:r>
        <w:t xml:space="preserve">7. Lo que todavía falta construir</w:t>
      </w:r>
    </w:p>
    <w:p>
      <w:pPr>
        <w:spacing w:after="150"/>
      </w:pPr>
      <w:r>
        <w:t xml:space="preserve">Para ser transparentes sobre el estado real del sistema, estos dos flujos están identificados pero aún no implementados:</w:t>
      </w:r>
    </w:p>
    <w:p>
      <w:pPr>
        <w:pStyle w:val="Heading2"/>
        <w:spacing w:after="150" w:before="300"/>
      </w:pPr>
      <w:r>
        <w:t xml:space="preserve">7.1 Pago de aguinaldo (con reinicio del acumulado)</w:t>
      </w:r>
    </w:p>
    <w:p>
      <w:pPr>
        <w:spacing w:after="150"/>
      </w:pPr>
      <w:r>
        <w:t xml:space="preserve">Hoy no existe una acción de "pagar aguinaldo" que, al desembolsarlo en diciembre, reste ese monto del acumulado. Mientras no se construya, el acumulado de aguinaldo sigue creciendo mes a mes sin bajar aunque ya se haya pagado en efectivo — lo que genera riesgo real de pagarlo dos veces si más adelante se usa ese acumulado para liquidar a alguien.</w:t>
      </w:r>
    </w:p>
    <w:p>
      <w:pPr>
        <w:pStyle w:val="Heading2"/>
        <w:spacing w:after="150" w:before="300"/>
      </w:pPr>
      <w:r>
        <w:t xml:space="preserve">7.2 Baja / liquidación formal del empleado</w:t>
      </w:r>
    </w:p>
    <w:p>
      <w:pPr>
        <w:spacing w:after="150"/>
      </w:pPr>
      <w:r>
        <w:t xml:space="preserve">El botón actual de "dar de baja" solo cambia el estado del empleado a inactivo. No calcula la liquidación, no genera el pago ni el asiento contable, y no pone en cero los acumulados de prestaciones. La fórmula de cálculo (calcularLiquidacion) ya existe en el sistema, pero ningún botón la usa todavía.</w:t>
      </w:r>
    </w:p>
    <w:p>
      <w:pPr>
        <w:spacing w:after="150"/>
      </w:pPr>
      <w:r>
        <w:t xml:space="preserve">La bitácora de vacaciones de la sección 5 ya deja lista la información que ese flujo va a necesitar (cuántos días quedan pendientes de pagar al momento de la baja), así que construirlo ahora es más sencillo que antes.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2026-08-01T09:08:18.190Z</dcterms:created>
  <dcterms:modified xsi:type="dcterms:W3CDTF">2026-08-01T09:08:18.191Z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