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A5A5A"/>
          <w:sz w:val="20"/>
          <w:szCs w:val="20"/>
        </w:rPr>
        <w:t xml:space="preserve">SICONIC — Sistema Contable de Nicaragua</w:t>
      </w:r>
    </w:p>
    <w:p>
      <w:pPr>
        <w:spacing w:after="40"/>
        <w:jc w:val="center"/>
      </w:pPr>
      <w:r>
        <w:rPr>
          <w:b/>
          <w:bCs/>
          <w:color w:val="1B2A4A"/>
          <w:sz w:val="40"/>
          <w:szCs w:val="40"/>
        </w:rPr>
        <w:t xml:space="preserve">Reporte Final de Pruebas de Calidad (QA)</w:t>
      </w:r>
    </w:p>
    <w:p>
      <w:pPr>
        <w:spacing w:after="300"/>
        <w:jc w:val="center"/>
      </w:pPr>
      <w:r>
        <w:rPr>
          <w:i/>
          <w:iCs/>
          <w:color w:val="5A5A5A"/>
          <w:sz w:val="20"/>
          <w:szCs w:val="20"/>
        </w:rPr>
        <w:t xml:space="preserve">Prueba integral de extremo a extremo — Empresa de prueba "Factura Nica" · Enero 2025 · Preparado para Deybi · 5 de agosto de 2026</w:t>
      </w:r>
    </w:p>
    <w:p>
      <w:pPr>
        <w:pStyle w:val="Heading1"/>
        <w:spacing w:after="150" w:before="300"/>
      </w:pPr>
      <w:r>
        <w:rPr>
          <w:b/>
          <w:bCs/>
          <w:color w:val="1B2A4A"/>
        </w:rPr>
        <w:t xml:space="preserve">Alcance de la prueba</w:t>
      </w:r>
    </w:p>
    <w:p>
      <w:pPr>
        <w:spacing w:after="120" w:line="300"/>
      </w:pPr>
      <w:r>
        <w:t xml:space="preserve">Se probó el flujo completo del ERP usando la interfaz real (botones y formularios, no llamadas directas a la base de datos), simulando una empresa nicaragüense real desde cero:</w:t>
      </w:r>
    </w:p>
    <w:p>
      <w:pPr>
        <w:pStyle w:val="ListParagraph"/>
        <w:numPr>
          <w:ilvl w:val="0"/>
          <w:numId w:val="2"/>
        </w:numPr>
        <w:spacing w:after="100" w:line="290"/>
      </w:pPr>
      <w:r>
        <w:t xml:space="preserve">Registro de empresa Persona Natural ("Factura Nica"), usuario administrador, un contador y dos vendedores con roles distintos.</w:t>
      </w:r>
    </w:p>
    <w:p>
      <w:pPr>
        <w:pStyle w:val="ListParagraph"/>
        <w:numPr>
          <w:ilvl w:val="0"/>
          <w:numId w:val="2"/>
        </w:numPr>
        <w:spacing w:after="100" w:line="290"/>
      </w:pPr>
      <w:r>
        <w:t xml:space="preserve">8 proveedores, 20 clientes y 50 productos de inventario cargados.</w:t>
      </w:r>
    </w:p>
    <w:p>
      <w:pPr>
        <w:pStyle w:val="ListParagraph"/>
        <w:numPr>
          <w:ilvl w:val="0"/>
          <w:numId w:val="2"/>
        </w:numPr>
        <w:spacing w:after="100" w:line="290"/>
      </w:pPr>
      <w:r>
        <w:t xml:space="preserve">4 empleados registrados en nómina.</w:t>
      </w:r>
    </w:p>
    <w:p>
      <w:pPr>
        <w:pStyle w:val="ListParagraph"/>
        <w:numPr>
          <w:ilvl w:val="0"/>
          <w:numId w:val="2"/>
        </w:numPr>
        <w:spacing w:after="100" w:line="290"/>
      </w:pPr>
      <w:r>
        <w:t xml:space="preserve">Un ciclo mensual completo (enero 2025): 2 compras, ventas al contado (incluyendo 1 con nota de crédito parcial), planilla calculada/aprobada/pagada, y los 3 reportes VET de la DGI generados y verificados contra la base de datos real.</w:t>
      </w:r>
    </w:p>
    <w:p>
      <w:pPr>
        <w:spacing w:after="120" w:line="300"/>
      </w:pPr>
      <w:r>
        <w:t xml:space="preserve">El alcance se acotó a un mes representativo por decisión conjunta con Deybi durante la prueba: los bugs críticos encontrados son de arquitectura (no de datos de un mes en particular) y se repetirían de forma idéntica en cualquiera de los 11 meses restantes, sin aportar hallazgos nuevos. Se priorizó entregar un reporte accionable sobre repetir clics ya validados.</w:t>
      </w:r>
    </w:p>
    <w:p>
      <w:pPr>
        <w:pStyle w:val="Heading1"/>
        <w:spacing w:after="150" w:before="300"/>
      </w:pPr>
      <w:r>
        <w:rPr>
          <w:b/>
          <w:bCs/>
          <w:color w:val="1B2A4A"/>
        </w:rPr>
        <w:t xml:space="preserve">Resumen ejecutivo</w:t>
      </w:r>
    </w:p>
    <w:p>
      <w:pPr>
        <w:spacing w:after="120" w:line="300"/>
      </w:pPr>
      <w:r>
        <w:rPr>
          <w:b/>
          <w:bCs/>
        </w:rPr>
        <w:t xml:space="preserve">Lo que funciona bien y quedó verificado: </w:t>
      </w:r>
      <w:r>
        <w:t xml:space="preserve">el motor de nómina (INSS/INATEC/IR según ley vigente), la integridad de partida doble del libro diario, y los 3 reportes VET (Planilla de Ingresos, Crédito Fiscal IVA, Retenciones en la Fuente) — todos verificados a mano y contra la base de datos, sin errores de cálculo.</w:t>
      </w:r>
    </w:p>
    <w:p>
      <w:pPr>
        <w:spacing w:after="120" w:line="300"/>
      </w:pPr>
      <w:r>
        <w:rPr>
          <w:b/>
          <w:bCs/>
        </w:rPr>
        <w:t xml:space="preserve">Corregido durante la prueba (ya aplicado, sin necesidad de tu aprobación adicional):</w:t>
      </w:r>
    </w:p>
    <w:p>
      <w:pPr>
        <w:pStyle w:val="ListParagraph"/>
        <w:numPr>
          <w:ilvl w:val="0"/>
          <w:numId w:val="2"/>
        </w:numPr>
        <w:spacing w:after="100" w:line="290"/>
      </w:pPr>
      <w:r>
        <w:rPr>
          <w:b/>
          <w:bCs/>
        </w:rPr>
        <w:t xml:space="preserve">Registro de empresas nuevas roto en producción</w:t>
      </w:r>
      <w:r>
        <w:t xml:space="preserve"> — migración de base de datos pendiente aplicada. Bloqueaba el alta de cualquier cliente nuevo, para los 3 tipos de contribuyente. (Hallazgo #1)</w:t>
      </w:r>
    </w:p>
    <w:p>
      <w:pPr>
        <w:pStyle w:val="ListParagraph"/>
        <w:numPr>
          <w:ilvl w:val="0"/>
          <w:numId w:val="2"/>
        </w:numPr>
        <w:spacing w:after="100" w:line="290"/>
      </w:pPr>
      <w:r>
        <w:rPr>
          <w:b/>
          <w:bCs/>
        </w:rPr>
        <w:t xml:space="preserve">Asiento contable "huérfano"</w:t>
      </w:r>
      <w:r>
        <w:t xml:space="preserve"> — se limpió manualmente un asiento de una venta fantasma que quedó registrada en el libro diario sin factura real detrás, tras un fallo del sistema. Limpieza de datos, no cambio de código. (Hallazgo #1B)</w:t>
      </w:r>
    </w:p>
    <w:p>
      <w:pPr>
        <w:spacing w:after="120" w:line="300"/>
      </w:pPr>
      <w:r>
        <w:rPr>
          <w:b/>
          <w:bCs/>
        </w:rPr>
        <w:t xml:space="preserve">Requiere tu decisión antes de tocar código</w:t>
      </w:r>
      <w:r>
        <w:t xml:space="preserve"> (cambios de arquitectura/diseño financiero — por instrucción del proyecto de consultar antes de modificaciones importantes):</w:t>
      </w:r>
    </w:p>
    <w:p>
      <w:pPr>
        <w:pStyle w:val="ListParagraph"/>
        <w:numPr>
          <w:ilvl w:val="0"/>
          <w:numId w:val="2"/>
        </w:numPr>
        <w:spacing w:after="100" w:line="290"/>
      </w:pPr>
      <w:r>
        <w:rPr>
          <w:b/>
          <w:bCs/>
        </w:rPr>
        <w:t xml:space="preserve">Atomicidad de "Emitir factura"</w:t>
      </w:r>
      <w:r>
        <w:t xml:space="preserve"> — hoy puede quedar un asiento contable aprobado sin factura real si algo falla a medio camino. Es el hallazgo de mayor prioridad de todo el informe. (#1B)</w:t>
      </w:r>
    </w:p>
    <w:p>
      <w:pPr>
        <w:pStyle w:val="ListParagraph"/>
        <w:numPr>
          <w:ilvl w:val="0"/>
          <w:numId w:val="2"/>
        </w:numPr>
        <w:spacing w:after="100" w:line="290"/>
      </w:pPr>
      <w:r>
        <w:rPr>
          <w:b/>
          <w:bCs/>
        </w:rPr>
        <w:t xml:space="preserve">"Caja y Bancos" desconectado de las transacciones reales</w:t>
      </w:r>
      <w:r>
        <w:t xml:space="preserve"> — ventas, compras y nómina no registran contra ninguna caja o cuenta bancaria real; el arqueo de caja y la conciliación bancaria no son utilizables tal como está hoy. (#1C)</w:t>
      </w:r>
    </w:p>
    <w:p>
      <w:pPr>
        <w:pStyle w:val="ListParagraph"/>
        <w:numPr>
          <w:ilvl w:val="0"/>
          <w:numId w:val="2"/>
        </w:numPr>
        <w:spacing w:after="100" w:line="290"/>
      </w:pPr>
      <w:r>
        <w:rPr>
          <w:b/>
          <w:bCs/>
        </w:rPr>
        <w:t xml:space="preserve">Saldo de apertura de inventario</w:t>
      </w:r>
      <w:r>
        <w:t xml:space="preserve"> — un producto con "stock inicial" no genera el asiento contable correspondiente, lo que bloquea la primera venta de cualquier empresa nueva con inventario preexistente. (#5A)</w:t>
      </w:r>
    </w:p>
    <w:p>
      <w:pPr>
        <w:spacing w:after="120" w:line="300"/>
      </w:pPr>
      <w:r>
        <w:t xml:space="preserve">El resto son hallazgos menores, cosméticos o de UX (fechas mostradas un día antes por zona horaria, condición de carrera al crear un cargo nuevo, inconsistencia visual en la factura tras una nota de crédito, nombre de marca fijo en el código, campos de formulario faltantes) — detallados con severidad en las secciones siguientes.</w:t>
      </w:r>
    </w:p>
    <w:p>
      <w:pPr>
        <w:pBdr>
          <w:bottom w:val="single" w:color="CCCCCC" w:sz="6"/>
        </w:pBdr>
        <w:spacing w:after="200" w:before="200"/>
      </w:pPr>
    </w:p>
    <w:p>
      <w:pPr>
        <w:pStyle w:val="Heading1"/>
        <w:spacing w:after="150" w:before="300"/>
      </w:pPr>
      <w:r>
        <w:rPr>
          <w:b/>
          <w:bCs/>
          <w:color w:val="C0392B"/>
        </w:rPr>
        <w:t xml:space="preserve">Hallazgos críticos</w:t>
      </w:r>
    </w:p>
    <w:p>
      <w:pPr>
        <w:spacing w:after="120" w:line="300"/>
      </w:pPr>
      <w:r>
        <w:t xml:space="preserve">Afectan directamente la confiabilidad de la contabilidad, los reportes financieros o la información que se enviaría a la DGI. Requieren decisión de arquitectura antes de corregirse.</w:t>
      </w:r>
    </w:p>
    <w:p>
      <w:pPr>
        <w:pBdr>
          <w:left w:val="single" w:color="C0392B" w:sz="24" w:space="8"/>
        </w:pBdr>
        <w:spacing w:after="40" w:before="260"/>
        <w:ind w:left="120"/>
      </w:pPr>
      <w:r>
        <w:rPr>
          <w:b/>
          <w:bCs/>
          <w:color w:val="C0392B"/>
          <w:sz w:val="24"/>
          <w:szCs w:val="24"/>
        </w:rPr>
        <w:t xml:space="preserve">#1  </w:t>
      </w:r>
      <w:r>
        <w:rPr>
          <w:b/>
          <w:bCs/>
          <w:color w:val="1B2A4A"/>
          <w:sz w:val="24"/>
          <w:szCs w:val="24"/>
        </w:rPr>
        <w:t xml:space="preserve">Registro de nuevas empresas roto en producción (los 3 tipos de contribuyente)</w:t>
      </w:r>
    </w:p>
    <w:p>
      <w:pPr>
        <w:pStyle w:val="ListParagraph"/>
        <w:numPr>
          <w:ilvl w:val="0"/>
          <w:numId w:val="2"/>
        </w:numPr>
        <w:spacing w:after="100" w:line="290"/>
      </w:pPr>
      <w:r>
        <w:rPr>
          <w:b/>
          <w:bCs/>
        </w:rPr>
        <w:t xml:space="preserve">Síntoma: </w:t>
      </w:r>
      <w:r>
        <w:t xml:space="preserve">al enviar el formulario de </w:t>
      </w:r>
      <w:r>
        <w:rPr>
          <w:rFonts w:ascii="Consolas" w:cs="Consolas" w:eastAsia="Consolas" w:hAnsi="Consolas"/>
          <w:color w:val="8E44AD"/>
          <w:sz w:val="20"/>
          <w:szCs w:val="20"/>
        </w:rPr>
        <w:t xml:space="preserve">/auth/register</w:t>
      </w:r>
      <w:r>
        <w:t xml:space="preserve"> (Persona Natural, Cuota Fija o Persona Jurídica), se crea el usuario de autenticación pero falla el guardado de la empresa con un mensaje genérico "Error al guardar los datos. Intenta de nuevo.", sin ninguna pista de la causa real.</w:t>
      </w:r>
    </w:p>
    <w:p>
      <w:pPr>
        <w:pStyle w:val="ListParagraph"/>
        <w:numPr>
          <w:ilvl w:val="0"/>
          <w:numId w:val="2"/>
        </w:numPr>
        <w:spacing w:after="100" w:line="290"/>
      </w:pPr>
      <w:r>
        <w:rPr>
          <w:b/>
          <w:bCs/>
        </w:rPr>
        <w:t xml:space="preserve">Causa raíz: </w:t>
      </w:r>
      <w:r>
        <w:t xml:space="preserve">la migración </w:t>
      </w:r>
      <w:r>
        <w:rPr>
          <w:rFonts w:ascii="Consolas" w:cs="Consolas" w:eastAsia="Consolas" w:hAnsi="Consolas"/>
          <w:color w:val="8E44AD"/>
          <w:sz w:val="20"/>
          <w:szCs w:val="20"/>
        </w:rPr>
        <w:t xml:space="preserve">20260707140000_terminos_aceptacion_empresas.sql</w:t>
      </w:r>
      <w:r>
        <w:t xml:space="preserve"> agrega columnas nuevas (</w:t>
      </w:r>
      <w:r>
        <w:rPr>
          <w:rFonts w:ascii="Consolas" w:cs="Consolas" w:eastAsia="Consolas" w:hAnsi="Consolas"/>
          <w:color w:val="8E44AD"/>
          <w:sz w:val="20"/>
          <w:szCs w:val="20"/>
        </w:rPr>
        <w:t xml:space="preserve">terminos_aceptados_en</w:t>
      </w:r>
      <w:r>
        <w:t xml:space="preserve">, </w:t>
      </w:r>
      <w:r>
        <w:rPr>
          <w:rFonts w:ascii="Consolas" w:cs="Consolas" w:eastAsia="Consolas" w:hAnsi="Consolas"/>
          <w:color w:val="8E44AD"/>
          <w:sz w:val="20"/>
          <w:szCs w:val="20"/>
        </w:rPr>
        <w:t xml:space="preserve">terminos_version</w:t>
      </w:r>
      <w:r>
        <w:t xml:space="preserve">) a las tablas de empresas. El código ya enviaba esas columnas desde julio, pero la migración nunca se aplicó a la base de datos de producción. Postgres rechazaba el INSERT (columna inexistente) y el frontend absorbía el error en un mensaje genérico.</w:t>
      </w:r>
    </w:p>
    <w:p>
      <w:pPr>
        <w:pStyle w:val="ListParagraph"/>
        <w:numPr>
          <w:ilvl w:val="0"/>
          <w:numId w:val="2"/>
        </w:numPr>
        <w:spacing w:after="100" w:line="290"/>
      </w:pPr>
      <w:r>
        <w:rPr>
          <w:b/>
          <w:bCs/>
        </w:rPr>
        <w:t xml:space="preserve">Efecto colateral: </w:t>
      </w:r>
      <w:r>
        <w:t xml:space="preserve">cada intento fallido dejaba un usuario huérfano en el sistema de autenticación, sin empresa asociada y sin poder volver a registrarse limpio con ese correo.</w:t>
      </w:r>
    </w:p>
    <w:p>
      <w:pPr>
        <w:pStyle w:val="ListParagraph"/>
        <w:numPr>
          <w:ilvl w:val="0"/>
          <w:numId w:val="2"/>
        </w:numPr>
        <w:spacing w:after="100" w:line="290"/>
      </w:pPr>
      <w:r>
        <w:rPr>
          <w:b/>
          <w:bCs/>
        </w:rPr>
        <w:t xml:space="preserve">Corrección aplicada: </w:t>
      </w:r>
      <w:r>
        <w:t xml:space="preserve">se aplicó la migración pendiente (aditiva, sin riesgo para datos existentes) y se limpió el usuario huérfano de prueba.</w:t>
      </w:r>
    </w:p>
    <w:p>
      <w:pPr>
        <w:pStyle w:val="ListParagraph"/>
        <w:numPr>
          <w:ilvl w:val="0"/>
          <w:numId w:val="2"/>
        </w:numPr>
        <w:spacing w:after="100" w:line="290"/>
      </w:pPr>
      <w:r>
        <w:rPr>
          <w:b/>
          <w:bCs/>
        </w:rPr>
        <w:t xml:space="preserve">Pendiente de tu decisión: </w:t>
      </w:r>
      <w:r>
        <w:t xml:space="preserve">el manejo de errores del formulario de registro descarta el detalle real del error de la base de datos. Recomiendo registrar ese detalle en consola o en una herramienta de monitoreo, para que un bug así nunca vuelva a ser invisible en producción.</w:t>
      </w:r>
    </w:p>
    <w:p>
      <w:pPr>
        <w:pBdr>
          <w:left w:val="single" w:color="C0392B" w:sz="24" w:space="8"/>
        </w:pBdr>
        <w:spacing w:after="40" w:before="260"/>
        <w:ind w:left="120"/>
      </w:pPr>
      <w:r>
        <w:rPr>
          <w:b/>
          <w:bCs/>
          <w:color w:val="C0392B"/>
          <w:sz w:val="24"/>
          <w:szCs w:val="24"/>
        </w:rPr>
        <w:t xml:space="preserve">#1B  </w:t>
      </w:r>
      <w:r>
        <w:rPr>
          <w:b/>
          <w:bCs/>
          <w:color w:val="1B2A4A"/>
          <w:sz w:val="24"/>
          <w:szCs w:val="24"/>
        </w:rPr>
        <w:t xml:space="preserve">Venta fallida deja un asiento contable "huérfano" y aprobado en el libro diario</w:t>
      </w:r>
    </w:p>
    <w:p>
      <w:pPr>
        <w:pStyle w:val="ListParagraph"/>
        <w:numPr>
          <w:ilvl w:val="0"/>
          <w:numId w:val="2"/>
        </w:numPr>
        <w:spacing w:after="100" w:line="290"/>
      </w:pPr>
      <w:r>
        <w:rPr>
          <w:b/>
          <w:bCs/>
        </w:rPr>
        <w:t xml:space="preserve">Síntoma: </w:t>
      </w:r>
      <w:r>
        <w:t xml:space="preserve">al intentar emitir una factura, el sistema rechazó el guardado por saldo de inventario insuficiente — el mensaje daba a entender que nada se había guardado. Sin embargo, en la base de datos sí quedó creado y </w:t>
      </w:r>
      <w:r>
        <w:rPr>
          <w:b/>
          <w:bCs/>
        </w:rPr>
        <w:t xml:space="preserve">aprobado</w:t>
      </w:r>
      <w:r>
        <w:t xml:space="preserve"> un asiento contable completo de esa venta (Debe Caja General C$586.50, Haber Ventas C$510.00, Haber IVA Débito Fiscal C$76.50), sin que existiera ninguna factura real detrás.</w:t>
      </w:r>
    </w:p>
    <w:p>
      <w:pPr>
        <w:pStyle w:val="ListParagraph"/>
        <w:numPr>
          <w:ilvl w:val="0"/>
          <w:numId w:val="2"/>
        </w:numPr>
        <w:spacing w:after="100" w:line="290"/>
      </w:pPr>
      <w:r>
        <w:rPr>
          <w:b/>
          <w:bCs/>
        </w:rPr>
        <w:t xml:space="preserve">Causa raíz: </w:t>
      </w:r>
      <w:r>
        <w:t xml:space="preserve">el proceso de "Emitir factura" no es atómico. Primero crea y aprueba el asiento contable, y en un paso posterior intenta guardar el detalle de la factura con validación de inventario; si ese segundo paso falla, el primero no se revierte.</w:t>
      </w:r>
    </w:p>
    <w:p>
      <w:pPr>
        <w:pStyle w:val="ListParagraph"/>
        <w:numPr>
          <w:ilvl w:val="0"/>
          <w:numId w:val="2"/>
        </w:numPr>
        <w:spacing w:after="100" w:line="290"/>
      </w:pPr>
      <w:r>
        <w:rPr>
          <w:b/>
          <w:bCs/>
        </w:rPr>
        <w:t xml:space="preserve">Por qué es crítico: </w:t>
      </w:r>
      <w:r>
        <w:t xml:space="preserve">esto contamina el libro diario y el saldo de Caja con ventas que nunca existieron. Cualquier reporte financiero, declaración de IVA o archivo VET generado a partir de estos datos quedaría inflado con una venta ficticia. No es un caso extremo: basta con vender un producto sin saldo contable de inventario suficiente, algo muy probable en cualquier empresa nueva (ver hallazgo #5A).</w:t>
      </w:r>
    </w:p>
    <w:p>
      <w:pPr>
        <w:pStyle w:val="ListParagraph"/>
        <w:numPr>
          <w:ilvl w:val="0"/>
          <w:numId w:val="2"/>
        </w:numPr>
        <w:spacing w:after="100" w:line="290"/>
      </w:pPr>
      <w:r>
        <w:rPr>
          <w:b/>
          <w:bCs/>
        </w:rPr>
        <w:t xml:space="preserve">Corrección aplicada: </w:t>
      </w:r>
      <w:r>
        <w:t xml:space="preserve">se eliminó manualmente el asiento huérfano (solo limpieza de datos, no se tocó código). La corrección real de raíz — envolver todo el flujo de "Emitir factura" en una sola transacción atómica de base de datos — es un cambio de lógica financiera central que debe decidirse contigo antes de implementarse.</w:t>
      </w:r>
    </w:p>
    <w:p>
      <w:pPr>
        <w:pStyle w:val="ListParagraph"/>
        <w:numPr>
          <w:ilvl w:val="0"/>
          <w:numId w:val="2"/>
        </w:numPr>
        <w:spacing w:after="100" w:line="290"/>
      </w:pPr>
      <w:r>
        <w:rPr>
          <w:b/>
          <w:bCs/>
        </w:rPr>
        <w:t xml:space="preserve">Detalle adicional: </w:t>
      </w:r>
      <w:r>
        <w:t xml:space="preserve">el folio F-000001 se perdió para siempre (el consecutivo se incrementa antes de confirmar la operación completa). El mismo patrón se repitió en compras: C-000001 se perdió aunque esa compra falló de forma "limpia". Para una numeración de facturas que debe ser consecutiva y sin saltos ante la DGI, esto debe corregirse junto con el problema de atomicidad.</w:t>
      </w:r>
    </w:p>
    <w:p>
      <w:pPr>
        <w:pBdr>
          <w:left w:val="single" w:color="C0392B" w:sz="24" w:space="8"/>
        </w:pBdr>
        <w:spacing w:after="40" w:before="260"/>
        <w:ind w:left="120"/>
      </w:pPr>
      <w:r>
        <w:rPr>
          <w:b/>
          <w:bCs/>
          <w:color w:val="C0392B"/>
          <w:sz w:val="24"/>
          <w:szCs w:val="24"/>
        </w:rPr>
        <w:t xml:space="preserve">#1C  </w:t>
      </w:r>
      <w:r>
        <w:rPr>
          <w:b/>
          <w:bCs/>
          <w:color w:val="1B2A4A"/>
          <w:sz w:val="24"/>
          <w:szCs w:val="24"/>
        </w:rPr>
        <w:t xml:space="preserve">El módulo "Caja y Bancos" está desconectado de las ventas, compras y nómina reales</w:t>
      </w:r>
    </w:p>
    <w:p>
      <w:pPr>
        <w:pStyle w:val="ListParagraph"/>
        <w:numPr>
          <w:ilvl w:val="0"/>
          <w:numId w:val="2"/>
        </w:numPr>
        <w:spacing w:after="100" w:line="290"/>
      </w:pPr>
      <w:r>
        <w:rPr>
          <w:b/>
          <w:bCs/>
        </w:rPr>
        <w:t xml:space="preserve">Síntoma: </w:t>
      </w:r>
      <w:r>
        <w:t xml:space="preserve">tras registrar 3 facturas de venta al contado, 2 compras y pagar una planilla completa (todo afectando la cuenta contable "1.1.01 Caja General", con saldo real de C$132,385.84), el módulo "Caja y Bancos" mostraba "0 cuenta(s) · 0 caja(s)" y C$0.00 en todos sus totales — como si nada hubiera ocurrido.</w:t>
      </w:r>
    </w:p>
    <w:p>
      <w:pPr>
        <w:pStyle w:val="ListParagraph"/>
        <w:numPr>
          <w:ilvl w:val="0"/>
          <w:numId w:val="2"/>
        </w:numPr>
        <w:spacing w:after="100" w:line="290"/>
      </w:pPr>
      <w:r>
        <w:rPr>
          <w:b/>
          <w:bCs/>
        </w:rPr>
        <w:t xml:space="preserve">Causa raíz: </w:t>
      </w:r>
      <w:r>
        <w:t xml:space="preserve">ninguna factura tiene asignada una caja o cuenta bancaria (campos en NULL). El flujo de Ventas/Compras/Nómina escribe directo a la cuenta contable "Caja General" del plan de cuentas, pero el módulo operativo "Caja y Bancos" usa sus propias tablas independientes que nunca se enlazan con esas transacciones.</w:t>
      </w:r>
    </w:p>
    <w:p>
      <w:pPr>
        <w:pStyle w:val="ListParagraph"/>
        <w:numPr>
          <w:ilvl w:val="0"/>
          <w:numId w:val="2"/>
        </w:numPr>
        <w:spacing w:after="100" w:line="290"/>
      </w:pPr>
      <w:r>
        <w:rPr>
          <w:b/>
          <w:bCs/>
        </w:rPr>
        <w:t xml:space="preserve">Prueba adicional: </w:t>
      </w:r>
      <w:r>
        <w:t xml:space="preserve">se creó una cuenta bancaria de prueba con saldo inicial de C$50,000; ese saldo tampoco generó ningún asiento contable — el mismo patrón de saldos de apertura "huérfanos" documentado para inventario (#5A) se repite aquí para bancos.</w:t>
      </w:r>
    </w:p>
    <w:p>
      <w:pPr>
        <w:pStyle w:val="ListParagraph"/>
        <w:numPr>
          <w:ilvl w:val="0"/>
          <w:numId w:val="2"/>
        </w:numPr>
        <w:spacing w:after="100" w:line="290"/>
      </w:pPr>
      <w:r>
        <w:rPr>
          <w:b/>
          <w:bCs/>
        </w:rPr>
        <w:t xml:space="preserve">Confirmación cruzada: </w:t>
      </w:r>
      <w:r>
        <w:t xml:space="preserve">se revisó la pestaña de conciliación después de todas las transacciones del mes: "Ingresos mes: C$0.00", "Egresos mes: C$0.00", 0 cajas registradas. El arqueo de caja y la conciliación bancaria — controles que la DGI puede pedir revisar — no son funcionalmente utilizables mientras estos dos sistemas sigan separados.</w:t>
      </w:r>
    </w:p>
    <w:p>
      <w:pPr>
        <w:pStyle w:val="ListParagraph"/>
        <w:numPr>
          <w:ilvl w:val="0"/>
          <w:numId w:val="2"/>
        </w:numPr>
        <w:spacing w:after="100" w:line="290"/>
      </w:pPr>
      <w:r>
        <w:rPr>
          <w:b/>
          <w:bCs/>
        </w:rPr>
        <w:t xml:space="preserve">Por qué es crítico: </w:t>
      </w:r>
      <w:r>
        <w:t xml:space="preserve">son dos sistemas de caja que no se hablan entre sí. Requiere decidir contigo el diseño correcto: normalmente el formulario de "Nueva factura"/"Nueva compra" debería obligar a elegir contra cuál caja o cuenta se está cobrando/pagando, y esa selección alimentaría tanto el asiento contable como el movimiento dentro de "Caja y Bancos".</w:t>
      </w:r>
    </w:p>
    <w:p>
      <w:pPr>
        <w:pStyle w:val="ListParagraph"/>
        <w:numPr>
          <w:ilvl w:val="0"/>
          <w:numId w:val="2"/>
        </w:numPr>
        <w:spacing w:after="100" w:line="290"/>
      </w:pPr>
      <w:r>
        <w:rPr>
          <w:b/>
          <w:bCs/>
        </w:rPr>
        <w:t xml:space="preserve">Nota relacionada (menor): </w:t>
      </w:r>
      <w:r>
        <w:t xml:space="preserve">el pago de planilla y las notas de crédito quedan con la fecha real del sistema (no hay selector de fecha), lo cual es correcto para uso normal pero relevante si se necesita cargar operaciones retroactivas.</w:t>
      </w:r>
    </w:p>
    <w:p>
      <w:pPr>
        <w:pStyle w:val="Heading1"/>
        <w:spacing w:after="150" w:before="300"/>
      </w:pPr>
      <w:r>
        <w:rPr>
          <w:b/>
          <w:bCs/>
          <w:color w:val="D68910"/>
        </w:rPr>
        <w:t xml:space="preserve">Hallazgos moderados</w:t>
      </w:r>
    </w:p>
    <w:p>
      <w:pPr>
        <w:spacing w:after="120" w:line="300"/>
      </w:pPr>
      <w:r>
        <w:t xml:space="preserve">Afectan la experiencia de uso o la precisión de la información mostrada, sin comprometer directamente la contabilidad de fondo.</w:t>
      </w:r>
    </w:p>
    <w:p>
      <w:pPr>
        <w:pBdr>
          <w:left w:val="single" w:color="D68910" w:sz="24" w:space="8"/>
        </w:pBdr>
        <w:spacing w:after="40" w:before="260"/>
        <w:ind w:left="120"/>
      </w:pPr>
      <w:r>
        <w:rPr>
          <w:b/>
          <w:bCs/>
          <w:color w:val="D68910"/>
          <w:sz w:val="24"/>
          <w:szCs w:val="24"/>
        </w:rPr>
        <w:t xml:space="preserve">#5A  </w:t>
      </w:r>
      <w:r>
        <w:rPr>
          <w:b/>
          <w:bCs/>
          <w:color w:val="1B2A4A"/>
          <w:sz w:val="24"/>
          <w:szCs w:val="24"/>
        </w:rPr>
        <w:t xml:space="preserve">Crear un producto con "stock inicial" no genera el asiento contable de inventario</w:t>
      </w:r>
    </w:p>
    <w:p>
      <w:pPr>
        <w:pStyle w:val="ListParagraph"/>
        <w:numPr>
          <w:ilvl w:val="0"/>
          <w:numId w:val="2"/>
        </w:numPr>
        <w:spacing w:after="100" w:line="290"/>
      </w:pPr>
      <w:r>
        <w:rPr>
          <w:b/>
          <w:bCs/>
        </w:rPr>
        <w:t xml:space="preserve">Síntoma: </w:t>
      </w:r>
      <w:r>
        <w:t xml:space="preserve">al facturar una venta de un producto con stock cargado manualmente, el sistema la rechazó: "saldo negativo en cuenta 1.1.08 - Inventario de Mercancías". La cuenta contable de inventario arranca en C$0.00 aunque el producto ya "tenga" existencias en el módulo de inventario.</w:t>
      </w:r>
    </w:p>
    <w:p>
      <w:pPr>
        <w:pStyle w:val="ListParagraph"/>
        <w:numPr>
          <w:ilvl w:val="0"/>
          <w:numId w:val="2"/>
        </w:numPr>
        <w:spacing w:after="100" w:line="290"/>
      </w:pPr>
      <w:r>
        <w:rPr>
          <w:b/>
          <w:bCs/>
        </w:rPr>
        <w:t xml:space="preserve">Impacto real: </w:t>
      </w:r>
      <w:r>
        <w:t xml:space="preserve">cualquier empresa nueva que arranque con inventario ya existente (lo normal) se topará con este bloqueo en su primera factura, sin una ruta clara en la UI para resolverlo.</w:t>
      </w:r>
    </w:p>
    <w:p>
      <w:pPr>
        <w:pStyle w:val="ListParagraph"/>
        <w:numPr>
          <w:ilvl w:val="0"/>
          <w:numId w:val="2"/>
        </w:numPr>
        <w:spacing w:after="100" w:line="290"/>
      </w:pPr>
      <w:r>
        <w:rPr>
          <w:b/>
          <w:bCs/>
        </w:rPr>
        <w:t xml:space="preserve">Pendiente de tu decisión: </w:t>
      </w:r>
      <w:r>
        <w:t xml:space="preserve">evaluar si "Nuevo producto" debe ofrecer un campo opcional de "costo de apertura" que genere el asiento automáticamente, o si se debe documentar que el stock inicial siempre debe cargarse vía una compra real.</w:t>
      </w:r>
    </w:p>
    <w:p>
      <w:pPr>
        <w:pBdr>
          <w:left w:val="single" w:color="D68910" w:sz="24" w:space="8"/>
        </w:pBdr>
        <w:spacing w:after="40" w:before="260"/>
        <w:ind w:left="120"/>
      </w:pPr>
      <w:r>
        <w:rPr>
          <w:b/>
          <w:bCs/>
          <w:color w:val="D68910"/>
          <w:sz w:val="24"/>
          <w:szCs w:val="24"/>
        </w:rPr>
        <w:t xml:space="preserve">#5  </w:t>
      </w:r>
      <w:r>
        <w:rPr>
          <w:b/>
          <w:bCs/>
          <w:color w:val="1B2A4A"/>
          <w:sz w:val="24"/>
          <w:szCs w:val="24"/>
        </w:rPr>
        <w:t xml:space="preserve">Fechas se muestran un día antes en los listados (bug de zona horaria)</w:t>
      </w:r>
    </w:p>
    <w:p>
      <w:pPr>
        <w:pStyle w:val="ListParagraph"/>
        <w:numPr>
          <w:ilvl w:val="0"/>
          <w:numId w:val="2"/>
        </w:numPr>
        <w:spacing w:after="100" w:line="290"/>
      </w:pPr>
      <w:r>
        <w:rPr>
          <w:b/>
          <w:bCs/>
        </w:rPr>
        <w:t xml:space="preserve">Síntoma: </w:t>
      </w:r>
      <w:r>
        <w:t xml:space="preserve">una fecha guardada correctamente en la base de datos (ej. 2025-01-02) se muestra como un día antes (1/1/2025) en la pantalla.</w:t>
      </w:r>
    </w:p>
    <w:p>
      <w:pPr>
        <w:pStyle w:val="ListParagraph"/>
        <w:numPr>
          <w:ilvl w:val="0"/>
          <w:numId w:val="2"/>
        </w:numPr>
        <w:spacing w:after="100" w:line="290"/>
      </w:pPr>
      <w:r>
        <w:rPr>
          <w:b/>
          <w:bCs/>
        </w:rPr>
        <w:t xml:space="preserve">Causa probable: </w:t>
      </w:r>
      <w:r>
        <w:t xml:space="preserve">al formatear una fecha sin componente de hora con </w:t>
      </w:r>
      <w:r>
        <w:rPr>
          <w:rFonts w:ascii="Consolas" w:cs="Consolas" w:eastAsia="Consolas" w:hAnsi="Consolas"/>
          <w:color w:val="8E44AD"/>
          <w:sz w:val="20"/>
          <w:szCs w:val="20"/>
        </w:rPr>
        <w:t xml:space="preserve">new Date(fecha)</w:t>
      </w:r>
      <w:r>
        <w:t xml:space="preserve"> en JavaScript, el string se interpreta como medianoche UTC y, al formatearse en la zona horaria de Nicaragua (UTC-6), retrocede un día.</w:t>
      </w:r>
    </w:p>
    <w:p>
      <w:pPr>
        <w:pStyle w:val="ListParagraph"/>
        <w:numPr>
          <w:ilvl w:val="0"/>
          <w:numId w:val="2"/>
        </w:numPr>
        <w:spacing w:after="100" w:line="290"/>
      </w:pPr>
      <w:r>
        <w:rPr>
          <w:b/>
          <w:bCs/>
        </w:rPr>
        <w:t xml:space="preserve">Confirmado en tres módulos distintos: </w:t>
      </w:r>
      <w:r>
        <w:t xml:space="preserve">nómina (fecha de ingreso), compras (fecha de compra) y ventas (fecha de emisión) — no es un caso aislado, es casi seguro un patrón de formateo de fechas repetido en varias pantallas que debe corregirse de forma centralizada.</w:t>
      </w:r>
    </w:p>
    <w:p>
      <w:pPr>
        <w:pStyle w:val="ListParagraph"/>
        <w:numPr>
          <w:ilvl w:val="0"/>
          <w:numId w:val="2"/>
        </w:numPr>
        <w:spacing w:after="100" w:line="290"/>
      </w:pPr>
      <w:r>
        <w:rPr>
          <w:b/>
          <w:bCs/>
        </w:rPr>
        <w:t xml:space="preserve">Riesgo: </w:t>
      </w:r>
      <w:r>
        <w:t xml:space="preserve">cualquier documento que la DGI deba aceptar (VET) con una fecha mostrada incorrectamente podría ser motivo de rechazo o de una declaración con datos incorrectos, aunque el dato real guardado esté bien.</w:t>
      </w:r>
    </w:p>
    <w:p>
      <w:pPr>
        <w:pBdr>
          <w:left w:val="single" w:color="D68910" w:sz="24" w:space="8"/>
        </w:pBdr>
        <w:spacing w:after="40" w:before="260"/>
        <w:ind w:left="120"/>
      </w:pPr>
      <w:r>
        <w:rPr>
          <w:b/>
          <w:bCs/>
          <w:color w:val="D68910"/>
          <w:sz w:val="24"/>
          <w:szCs w:val="24"/>
        </w:rPr>
        <w:t xml:space="preserve">#6  </w:t>
      </w:r>
      <w:r>
        <w:rPr>
          <w:b/>
          <w:bCs/>
          <w:color w:val="1B2A4A"/>
          <w:sz w:val="24"/>
          <w:szCs w:val="24"/>
        </w:rPr>
        <w:t xml:space="preserve">El cargo del empleado no se guarda al usar "Crear cargo" desde el autocompletar</w:t>
      </w:r>
    </w:p>
    <w:p>
      <w:pPr>
        <w:pStyle w:val="ListParagraph"/>
        <w:numPr>
          <w:ilvl w:val="0"/>
          <w:numId w:val="2"/>
        </w:numPr>
        <w:spacing w:after="100" w:line="290"/>
      </w:pPr>
      <w:r>
        <w:rPr>
          <w:b/>
          <w:bCs/>
        </w:rPr>
        <w:t xml:space="preserve">Síntoma: </w:t>
      </w:r>
      <w:r>
        <w:t xml:space="preserve">al crear un cargo nuevo desde el autocompletar y enviar el formulario inmediatamente, el empleado se crea pero sin el cargo asignado.</w:t>
      </w:r>
    </w:p>
    <w:p>
      <w:pPr>
        <w:pStyle w:val="ListParagraph"/>
        <w:numPr>
          <w:ilvl w:val="0"/>
          <w:numId w:val="2"/>
        </w:numPr>
        <w:spacing w:after="100" w:line="290"/>
      </w:pPr>
      <w:r>
        <w:rPr>
          <w:b/>
          <w:bCs/>
        </w:rPr>
        <w:t xml:space="preserve">Confirmado como condición de carrera: </w:t>
      </w:r>
      <w:r>
        <w:t xml:space="preserve">se reprodujo el mismo flujo esperando ~2 segundos antes de enviar y el cargo sí se guardó. Es un problema de sincronización (timing), no de guardado en general — se manifiesta de forma intermitente según la velocidad del usuario.</w:t>
      </w:r>
    </w:p>
    <w:p>
      <w:pPr>
        <w:pStyle w:val="ListParagraph"/>
        <w:numPr>
          <w:ilvl w:val="0"/>
          <w:numId w:val="2"/>
        </w:numPr>
        <w:spacing w:after="100" w:line="290"/>
      </w:pPr>
      <w:r>
        <w:rPr>
          <w:b/>
          <w:bCs/>
        </w:rPr>
        <w:t xml:space="preserve">Recomendación: </w:t>
      </w:r>
      <w:r>
        <w:t xml:space="preserve">deshabilitar el botón de envío (o mostrar un loading) mientras la creación del cargo esté en curso.</w:t>
      </w:r>
    </w:p>
    <w:p>
      <w:pPr>
        <w:pBdr>
          <w:left w:val="single" w:color="D68910" w:sz="24" w:space="8"/>
        </w:pBdr>
        <w:spacing w:after="40" w:before="260"/>
        <w:ind w:left="120"/>
      </w:pPr>
      <w:r>
        <w:rPr>
          <w:b/>
          <w:bCs/>
          <w:color w:val="D68910"/>
          <w:sz w:val="24"/>
          <w:szCs w:val="24"/>
        </w:rPr>
        <w:t xml:space="preserve">#7  </w:t>
      </w:r>
      <w:r>
        <w:rPr>
          <w:b/>
          <w:bCs/>
          <w:color w:val="1B2A4A"/>
          <w:sz w:val="24"/>
          <w:szCs w:val="24"/>
        </w:rPr>
        <w:t xml:space="preserve">Notas de crédito: correctas en el fondo, pero la factura impresa queda con datos contradictorios</w:t>
      </w:r>
    </w:p>
    <w:p>
      <w:pPr>
        <w:pStyle w:val="ListParagraph"/>
        <w:numPr>
          <w:ilvl w:val="0"/>
          <w:numId w:val="2"/>
        </w:numPr>
        <w:spacing w:after="100" w:line="290"/>
      </w:pPr>
      <w:r>
        <w:rPr>
          <w:b/>
          <w:bCs/>
        </w:rPr>
        <w:t xml:space="preserve">Verificado correcto: </w:t>
      </w:r>
      <w:r>
        <w:t xml:space="preserve">el asiento contable de la nota de crédito está bien armado y cuadrado, el stock del producto se restauró correctamente, y el registro quedó completo con su consecutivo (NC-000001).</w:t>
      </w:r>
    </w:p>
    <w:p>
      <w:pPr>
        <w:pStyle w:val="ListParagraph"/>
        <w:numPr>
          <w:ilvl w:val="0"/>
          <w:numId w:val="2"/>
        </w:numPr>
        <w:spacing w:after="100" w:line="290"/>
      </w:pPr>
      <w:r>
        <w:rPr>
          <w:b/>
          <w:bCs/>
        </w:rPr>
        <w:t xml:space="preserve">Único defecto: </w:t>
      </w:r>
      <w:r>
        <w:t xml:space="preserve">en la factura después de aplicar la nota de crédito, la tabla de detalle sigue mostrando la cantidad y el total originales, mientras que el resumen de Subtotal/IVA/Total sí se actualiza — el mismo documento muestra dos cifras distintas para la misma operación.</w:t>
      </w:r>
    </w:p>
    <w:p>
      <w:pPr>
        <w:pStyle w:val="ListParagraph"/>
        <w:numPr>
          <w:ilvl w:val="0"/>
          <w:numId w:val="2"/>
        </w:numPr>
        <w:spacing w:after="100" w:line="290"/>
      </w:pPr>
      <w:r>
        <w:rPr>
          <w:b/>
          <w:bCs/>
        </w:rPr>
        <w:t xml:space="preserve">Por qué importa: </w:t>
      </w:r>
      <w:r>
        <w:t xml:space="preserve">esta factura es el documento que se entrega al cliente y que la DGI podría revisar; un comprobante con el detalle y el total contradiciéndose entre sí no es aceptable, aunque el motivo sí quede aclarado en las notas.</w:t>
      </w:r>
    </w:p>
    <w:p>
      <w:pPr>
        <w:pStyle w:val="Heading1"/>
        <w:spacing w:after="150" w:before="300"/>
      </w:pPr>
      <w:r>
        <w:rPr>
          <w:b/>
          <w:bCs/>
          <w:color w:val="7D8A94"/>
        </w:rPr>
        <w:t xml:space="preserve">Hallazgos menores / cosméticos</w:t>
      </w:r>
    </w:p>
    <w:p>
      <w:pPr>
        <w:pBdr>
          <w:left w:val="single" w:color="7D8A94" w:sz="24" w:space="8"/>
        </w:pBdr>
        <w:spacing w:after="40" w:before="260"/>
        <w:ind w:left="120"/>
      </w:pPr>
      <w:r>
        <w:rPr>
          <w:b/>
          <w:bCs/>
          <w:color w:val="7D8A94"/>
          <w:sz w:val="24"/>
          <w:szCs w:val="24"/>
        </w:rPr>
        <w:t xml:space="preserve">#2  </w:t>
      </w:r>
      <w:r>
        <w:rPr>
          <w:b/>
          <w:bCs/>
          <w:color w:val="1B2A4A"/>
          <w:sz w:val="24"/>
          <w:szCs w:val="24"/>
        </w:rPr>
        <w:t xml:space="preserve">Nombre de marca "Factura Nica" fijo en el código para todas las empresas</w:t>
      </w:r>
    </w:p>
    <w:p>
      <w:pPr>
        <w:pStyle w:val="ListParagraph"/>
        <w:numPr>
          <w:ilvl w:val="0"/>
          <w:numId w:val="2"/>
        </w:numPr>
        <w:spacing w:after="100" w:line="290"/>
      </w:pPr>
      <w:r>
        <w:t xml:space="preserve">El encabezado del dashboard muestra siempre el texto "Factura Nica" (literal fijo en el código), sin leer el nombre real de la empresa que inició sesión. Coincidió por casualidad con el nombre usado en esta empresa de prueba.</w:t>
      </w:r>
    </w:p>
    <w:p>
      <w:pPr>
        <w:pBdr>
          <w:left w:val="single" w:color="7D8A94" w:sz="24" w:space="8"/>
        </w:pBdr>
        <w:spacing w:after="40" w:before="260"/>
        <w:ind w:left="120"/>
      </w:pPr>
      <w:r>
        <w:rPr>
          <w:b/>
          <w:bCs/>
          <w:color w:val="7D8A94"/>
          <w:sz w:val="24"/>
          <w:szCs w:val="24"/>
        </w:rPr>
        <w:t xml:space="preserve">#3  </w:t>
      </w:r>
      <w:r>
        <w:rPr>
          <w:b/>
          <w:bCs/>
          <w:color w:val="1B2A4A"/>
          <w:sz w:val="24"/>
          <w:szCs w:val="24"/>
        </w:rPr>
        <w:t xml:space="preserve">Persona Natural no tiene campo de "nombre comercial"</w:t>
      </w:r>
    </w:p>
    <w:p>
      <w:pPr>
        <w:pStyle w:val="ListParagraph"/>
        <w:numPr>
          <w:ilvl w:val="0"/>
          <w:numId w:val="2"/>
        </w:numPr>
        <w:spacing w:after="100" w:line="290"/>
      </w:pPr>
      <w:r>
        <w:t xml:space="preserve">Persona Jurídica sí captura un nombre comercial distinto al nombre legal, pero Persona Natural/Cuota Fija solo captura el nombre de la persona. En Nicaragua muchos comerciantes individuales operan bajo un nombre comercial distinto (ej. "Pulpería Doña María"). No es obligatorio por ley, pero es una limitación real de UX.</w:t>
      </w:r>
    </w:p>
    <w:p>
      <w:pPr>
        <w:pBdr>
          <w:left w:val="single" w:color="7D8A94" w:sz="24" w:space="8"/>
        </w:pBdr>
        <w:spacing w:after="40" w:before="260"/>
        <w:ind w:left="120"/>
      </w:pPr>
      <w:r>
        <w:rPr>
          <w:b/>
          <w:bCs/>
          <w:color w:val="7D8A94"/>
          <w:sz w:val="24"/>
          <w:szCs w:val="24"/>
        </w:rPr>
        <w:t xml:space="preserve">#4  </w:t>
      </w:r>
      <w:r>
        <w:rPr>
          <w:b/>
          <w:bCs/>
          <w:color w:val="1B2A4A"/>
          <w:sz w:val="24"/>
          <w:szCs w:val="24"/>
        </w:rPr>
        <w:t xml:space="preserve">Política de contraseña inconsistente entre registro y usuarios internos</w:t>
      </w:r>
    </w:p>
    <w:p>
      <w:pPr>
        <w:pStyle w:val="ListParagraph"/>
        <w:numPr>
          <w:ilvl w:val="0"/>
          <w:numId w:val="2"/>
        </w:numPr>
        <w:spacing w:after="100" w:line="290"/>
      </w:pPr>
      <w:r>
        <w:t xml:space="preserve">El registro de empresa exige solo 6 caracteres, mientras que crear un usuario interno exige 8 caracteres + mayúscula + número. El dueño de la cuenta (con acceso total) puede tener una contraseña más débil que sus propios empleados invitados.</w:t>
      </w:r>
    </w:p>
    <w:p>
      <w:pPr>
        <w:pStyle w:val="Heading1"/>
        <w:spacing w:after="150" w:before="300"/>
      </w:pPr>
      <w:r>
        <w:rPr>
          <w:b/>
          <w:bCs/>
          <w:color w:val="1E8449"/>
        </w:rPr>
        <w:t xml:space="preserve">Verificado correcto</w:t>
      </w:r>
    </w:p>
    <w:p>
      <w:pPr>
        <w:spacing w:after="120" w:line="300"/>
      </w:pPr>
      <w:r>
        <w:t xml:space="preserve">Áreas probadas a fondo y contrastadas contra la ley o contra la base de datos, sin errores encontrados.</w:t>
      </w:r>
    </w:p>
    <w:p>
      <w:pPr>
        <w:pBdr>
          <w:left w:val="single" w:color="1E8449" w:sz="24" w:space="8"/>
        </w:pBdr>
        <w:spacing w:after="40" w:before="260"/>
        <w:ind w:left="120"/>
      </w:pPr>
      <w:r>
        <w:rPr>
          <w:b/>
          <w:bCs/>
          <w:color w:val="1E8449"/>
          <w:sz w:val="24"/>
          <w:szCs w:val="24"/>
        </w:rPr>
        <w:t xml:space="preserve">#8  </w:t>
      </w:r>
      <w:r>
        <w:rPr>
          <w:b/>
          <w:bCs/>
          <w:color w:val="1B2A4A"/>
          <w:sz w:val="24"/>
          <w:szCs w:val="24"/>
        </w:rPr>
        <w:t xml:space="preserve">Reportes VET (Reportes DGI) — cifras correctas para enero 2025</w:t>
      </w:r>
    </w:p>
    <w:p>
      <w:pPr>
        <w:pStyle w:val="ListParagraph"/>
        <w:numPr>
          <w:ilvl w:val="0"/>
          <w:numId w:val="2"/>
        </w:numPr>
        <w:spacing w:after="100" w:line="290"/>
      </w:pPr>
      <w:r>
        <w:rPr>
          <w:b/>
          <w:bCs/>
        </w:rPr>
        <w:t xml:space="preserve">Planilla de Ingresos (DMI v2.1): </w:t>
      </w:r>
      <w:r>
        <w:t xml:space="preserve">C$1,090.00 gravado (15%) + C$700.00 exento = C$1,790.00, IVA C$163.50 — coincide exacto con las 3 facturas reales. Excluye correctamente la venta huérfana eliminada (#1B) y refleja el monto ya neto de la nota de crédito aplicada, es decir, el defecto visual del hallazgo #7 no contamina este reporte.</w:t>
      </w:r>
    </w:p>
    <w:p>
      <w:pPr>
        <w:pStyle w:val="ListParagraph"/>
        <w:numPr>
          <w:ilvl w:val="0"/>
          <w:numId w:val="2"/>
        </w:numPr>
        <w:spacing w:after="100" w:line="290"/>
      </w:pPr>
      <w:r>
        <w:rPr>
          <w:b/>
          <w:bCs/>
        </w:rPr>
        <w:t xml:space="preserve">Crédito Fiscal IVA (Renglón 105): </w:t>
      </w:r>
      <w:r>
        <w:t xml:space="preserve">incluye solo la compra con IVA (C$9,800 base, C$1,470 IVA) y excluye correctamente la compra 100% exenta de canasta básica, tal como exige el renglón 105.</w:t>
      </w:r>
    </w:p>
    <w:p>
      <w:pPr>
        <w:pStyle w:val="ListParagraph"/>
        <w:numPr>
          <w:ilvl w:val="0"/>
          <w:numId w:val="2"/>
        </w:numPr>
        <w:spacing w:after="100" w:line="290"/>
      </w:pPr>
      <w:r>
        <w:rPr>
          <w:b/>
          <w:bCs/>
        </w:rPr>
        <w:t xml:space="preserve">Retenciones en la Fuente: </w:t>
      </w:r>
      <w:r>
        <w:t xml:space="preserve">el reporte salió vacío porque ninguna compra de enero llevó código de retención — correcto según los datos, pero es una brecha de cobertura de esta prueba (no se ejerció ese flujo), recomiendo probarlo puntualmente antes de darlo por 100% validado.</w:t>
      </w:r>
    </w:p>
    <w:p>
      <w:pPr>
        <w:pBdr>
          <w:left w:val="single" w:color="1E8449" w:sz="24" w:space="8"/>
        </w:pBdr>
        <w:spacing w:after="40" w:before="260"/>
        <w:ind w:left="120"/>
      </w:pPr>
      <w:r>
        <w:rPr>
          <w:b/>
          <w:bCs/>
          <w:color w:val="1E8449"/>
          <w:sz w:val="24"/>
          <w:szCs w:val="24"/>
        </w:rPr>
        <w:t xml:space="preserve">#9  </w:t>
      </w:r>
      <w:r>
        <w:rPr>
          <w:b/>
          <w:bCs/>
          <w:color w:val="1B2A4A"/>
          <w:sz w:val="24"/>
          <w:szCs w:val="24"/>
        </w:rPr>
        <w:t xml:space="preserve">Motor de cálculo de nómina (INSS / INATEC / IR) — correcto según ley vigente</w:t>
      </w:r>
    </w:p>
    <w:p>
      <w:pPr>
        <w:pStyle w:val="ListParagraph"/>
        <w:numPr>
          <w:ilvl w:val="0"/>
          <w:numId w:val="2"/>
        </w:numPr>
        <w:spacing w:after="100" w:line="290"/>
      </w:pPr>
      <w:r>
        <w:t xml:space="preserve">Se verificó a mano el cálculo de enero 2025 contra las tasas legales vigentes (INSS laboral 7%, INSS patronal 22.5% Régimen Integral, INATEC patronal 2%, IR laboral según tabla progresiva mensual, provisiones de vacaciones/aguinaldo/indemnización a 1/12 cada una). Todos los montos coincidieron con el cálculo manual.</w:t>
      </w:r>
    </w:p>
    <w:p>
      <w:pPr>
        <w:pBdr>
          <w:left w:val="single" w:color="1E8449" w:sz="24" w:space="8"/>
        </w:pBdr>
        <w:spacing w:after="40" w:before="260"/>
        <w:ind w:left="120"/>
      </w:pPr>
      <w:r>
        <w:rPr>
          <w:b/>
          <w:bCs/>
          <w:color w:val="1E8449"/>
          <w:sz w:val="24"/>
          <w:szCs w:val="24"/>
        </w:rPr>
        <w:t xml:space="preserve">#10  </w:t>
      </w:r>
      <w:r>
        <w:rPr>
          <w:b/>
          <w:bCs/>
          <w:color w:val="1B2A4A"/>
          <w:sz w:val="24"/>
          <w:szCs w:val="24"/>
        </w:rPr>
        <w:t xml:space="preserve">Integridad de partida doble del libro diario</w:t>
      </w:r>
    </w:p>
    <w:p>
      <w:pPr>
        <w:pStyle w:val="ListParagraph"/>
        <w:numPr>
          <w:ilvl w:val="0"/>
          <w:numId w:val="2"/>
        </w:numPr>
        <w:spacing w:after="100" w:line="290"/>
      </w:pPr>
      <w:r>
        <w:t xml:space="preserve">La suma de "debe" y "haber" de todos los asientos aprobados del ciclo de enero cuadra exacta en C$379,764.65. El motor contable, cuando sí se ejecuta, es matemáticamente correcto — el problema documentado en los hallazgos críticos es cuándo/si se ejecuta de forma atómica, no la aritmética.</w:t>
      </w:r>
    </w:p>
    <w:p>
      <w:pPr>
        <w:pBdr>
          <w:bottom w:val="single" w:color="CCCCCC" w:sz="6"/>
        </w:pBdr>
        <w:spacing w:after="100" w:before="300"/>
      </w:pPr>
    </w:p>
    <w:p>
      <w:pPr>
        <w:pStyle w:val="Heading1"/>
        <w:spacing w:after="150" w:before="300"/>
      </w:pPr>
      <w:r>
        <w:rPr>
          <w:b/>
          <w:bCs/>
          <w:color w:val="1B2A4A"/>
        </w:rPr>
        <w:t xml:space="preserve">Recomendación de prioridad</w:t>
      </w:r>
    </w:p>
    <w:p>
      <w:pPr>
        <w:spacing w:after="120" w:line="300"/>
      </w:pPr>
      <w:r>
        <w:t xml:space="preserve">Sugiero abordar en este orden, dado el impacto en la confiabilidad contable y de cara a la DGI:</w:t>
      </w:r>
    </w:p>
    <w:p>
      <w:pPr>
        <w:pStyle w:val="ListParagraph"/>
        <w:numPr>
          <w:ilvl w:val="0"/>
          <w:numId w:val="2"/>
        </w:numPr>
        <w:spacing w:after="100"/>
      </w:pPr>
      <w:r>
        <w:rPr>
          <w:b/>
          <w:bCs/>
        </w:rPr>
        <w:t xml:space="preserve">1. </w:t>
      </w:r>
      <w:r>
        <w:t xml:space="preserve">Atomicidad de "Emitir factura" / "Recibir compra" (#1B) — es la única forma de garantizar que el libro diario nunca contenga ventas fantasma.</w:t>
      </w:r>
    </w:p>
    <w:p>
      <w:pPr>
        <w:pStyle w:val="ListParagraph"/>
        <w:numPr>
          <w:ilvl w:val="0"/>
          <w:numId w:val="2"/>
        </w:numPr>
        <w:spacing w:after="100"/>
      </w:pPr>
      <w:r>
        <w:rPr>
          <w:b/>
          <w:bCs/>
        </w:rPr>
        <w:t xml:space="preserve">2. </w:t>
      </w:r>
      <w:r>
        <w:t xml:space="preserve">Integración de "Caja y Bancos" con Ventas/Compras/Nómina (#1C) — sin esto, el arqueo y la conciliación bancaria no sirven.</w:t>
      </w:r>
    </w:p>
    <w:p>
      <w:pPr>
        <w:pStyle w:val="ListParagraph"/>
        <w:numPr>
          <w:ilvl w:val="0"/>
          <w:numId w:val="2"/>
        </w:numPr>
        <w:spacing w:after="100"/>
      </w:pPr>
      <w:r>
        <w:rPr>
          <w:b/>
          <w:bCs/>
        </w:rPr>
        <w:t xml:space="preserve">3. </w:t>
      </w:r>
      <w:r>
        <w:t xml:space="preserve">Saldo de apertura de inventario (#5A) — bloquea la primera venta de cualquier cliente nuevo con inventario existente.</w:t>
      </w:r>
    </w:p>
    <w:p>
      <w:pPr>
        <w:pStyle w:val="ListParagraph"/>
        <w:numPr>
          <w:ilvl w:val="0"/>
          <w:numId w:val="2"/>
        </w:numPr>
        <w:spacing w:after="100"/>
      </w:pPr>
      <w:r>
        <w:rPr>
          <w:b/>
          <w:bCs/>
        </w:rPr>
        <w:t xml:space="preserve">4. </w:t>
      </w:r>
      <w:r>
        <w:t xml:space="preserve">Corrección centralizada del formato de fechas (#5) y la condición de carrera de "Crear cargo" (#6).</w:t>
      </w:r>
    </w:p>
    <w:p>
      <w:pPr>
        <w:pStyle w:val="ListParagraph"/>
        <w:numPr>
          <w:ilvl w:val="0"/>
          <w:numId w:val="2"/>
        </w:numPr>
        <w:spacing w:after="200"/>
      </w:pPr>
      <w:r>
        <w:rPr>
          <w:b/>
          <w:bCs/>
        </w:rPr>
        <w:t xml:space="preserve">5. </w:t>
      </w:r>
      <w:r>
        <w:t xml:space="preserve">El resto de hallazgos menores/cosméticos, según disponibilidad.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93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2026-08-05T10:23:31.278Z</dcterms:created>
  <dcterms:modified xsi:type="dcterms:W3CDTF">2026-08-05T10:23:31.279Z</dcterms:modified>
</cp:coreProperties>
</file>

<file path=docProps/custom.xml><?xml version="1.0" encoding="utf-8"?>
<Properties xmlns="http://schemas.openxmlformats.org/officeDocument/2006/custom-properties" xmlns:vt="http://schemas.openxmlformats.org/officeDocument/2006/docPropsVTypes"/>
</file>