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b/>
          <w:bCs/>
          <w:color w:val="1B3A5C"/>
          <w:sz w:val="96"/>
          <w:szCs w:val="96"/>
        </w:rPr>
        <w:t xml:space="preserve">SARA</w:t>
      </w:r>
    </w:p>
    <w:p>
      <w:pPr>
        <w:spacing w:after="200"/>
        <w:jc w:val="center"/>
      </w:pPr>
      <w:r>
        <w:rPr>
          <w:color w:val="444444"/>
          <w:sz w:val="36"/>
          <w:szCs w:val="36"/>
        </w:rPr>
        <w:t xml:space="preserve">Sistema Administrativo y Contable</w:t>
      </w:r>
    </w:p>
    <w:p>
      <w:pPr>
        <w:spacing w:before="600"/>
        <w:jc w:val="center"/>
      </w:pPr>
      <w:r>
        <w:rPr>
          <w:b/>
          <w:bCs/>
          <w:sz w:val="48"/>
          <w:szCs w:val="48"/>
        </w:rPr>
        <w:t xml:space="preserve">MANUAL DE USUARIO</w:t>
      </w:r>
    </w:p>
    <w:p>
      <w:pPr>
        <w:spacing w:before="400"/>
        <w:jc w:val="center"/>
      </w:pPr>
      <w:r>
        <w:rPr>
          <w:color w:val="555555"/>
          <w:sz w:val="26"/>
          <w:szCs w:val="26"/>
        </w:rPr>
        <w:t xml:space="preserve">Contabilidad y facturación para Nicaragua</w:t>
      </w:r>
    </w:p>
    <w:p>
      <w:pPr>
        <w:jc w:val="center"/>
      </w:pPr>
      <w:r>
        <w:rPr>
          <w:color w:val="777777"/>
          <w:sz w:val="22"/>
          <w:szCs w:val="22"/>
        </w:rPr>
        <w:t xml:space="preserve">Ley 822 (LCT) · DGI / VET · INSS · NIIF para PYMES</w:t>
      </w:r>
    </w:p>
    <w:p>
      <w:pPr>
        <w:spacing w:before="2400"/>
        <w:jc w:val="center"/>
      </w:pPr>
      <w:r>
        <w:rPr>
          <w:color w:val="999999"/>
          <w:sz w:val="22"/>
          <w:szCs w:val="22"/>
        </w:rPr>
        <w:t xml:space="preserve">Julio 2026 · Versión 1.0</w:t>
      </w:r>
    </w:p>
    <w:p>
      <w:pPr>
        <w:sectPr>
          <w:pgSz w:w="12240" w:h="15840" w:orient="portrait"/>
          <w:pgMar w:top="1440" w:right="1440" w:bottom="1440" w:left="1440" w:header="708" w:footer="708" w:gutter="0"/>
          <w:pgNumType/>
          <w:docGrid w:linePitch="360"/>
        </w:sectPr>
      </w:pP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pPr>
      <w:r>
        <w:t xml:space="preserve">SARA es un sistema administrativo y contable en línea diseñado específicamente para empresas y negocios de Nicaragua. Integra en una sola aplicación la facturación, el punto de venta, las compras, el inventario, la contabilidad formal, la nómina y el cumplimiento tributario ante la DGI, incluyendo la generación de los archivos Excel oficiales que se cargan en la Ventanilla Electrónica Tributaria (VET).</w:t>
      </w:r>
    </w:p>
    <w:p>
      <w:pPr>
        <w:spacing w:after="120"/>
      </w:pPr>
      <w:r>
        <w:t xml:space="preserve">El sistema aplica automáticamente la normativa nicaragüense: IVA del 15%, retenciones IR en la fuente (art. 44 LCT), tabla progresiva del IR laboral (art. 23 LCT), cotizaciones INSS e INATEC, anticipo IR / Pago Mínimo Definitivo, IMI municipal e ISC. Los estados financieros se elaboran conforme a NIIF para PYMES.</w:t>
      </w:r>
    </w:p>
    <w:p>
      <w:pPr>
        <w:pStyle w:val="Heading2"/>
      </w:pPr>
      <w:r>
        <w:t xml:space="preserve">1.1 Requisitos y acceso</w:t>
      </w:r>
    </w:p>
    <w:p>
      <w:pPr>
        <w:pStyle w:val="ListParagraph"/>
        <w:numPr>
          <w:ilvl w:val="0"/>
          <w:numId w:val="2"/>
        </w:numPr>
        <w:spacing w:after="60"/>
      </w:pPr>
      <w:r>
        <w:t xml:space="preserve">Solo necesita un navegador web moderno (Chrome, Edge, Firefox) en computadora, tableta o teléfono.</w:t>
      </w:r>
    </w:p>
    <w:p>
      <w:pPr>
        <w:pStyle w:val="ListParagraph"/>
        <w:numPr>
          <w:ilvl w:val="0"/>
          <w:numId w:val="2"/>
        </w:numPr>
        <w:spacing w:after="60"/>
      </w:pPr>
      <w:r>
        <w:t xml:space="preserve">Conexión a internet: los datos se guardan en la nube de forma segura y con respaldo automático.</w:t>
      </w:r>
    </w:p>
    <w:p>
      <w:pPr>
        <w:pStyle w:val="ListParagraph"/>
        <w:numPr>
          <w:ilvl w:val="0"/>
          <w:numId w:val="2"/>
        </w:numPr>
        <w:spacing w:after="60"/>
      </w:pPr>
      <w:r>
        <w:t xml:space="preserve">Cada usuario tiene su propia cuenta (correo y contraseña) con un rol que define qué puede ver y hacer.</w:t>
      </w:r>
    </w:p>
    <w:p>
      <w:pPr>
        <w:pStyle w:val="Heading2"/>
      </w:pPr>
      <w:r>
        <w:t xml:space="preserve">1.2 Estructura del sistema</w:t>
      </w:r>
    </w:p>
    <w:p>
      <w:pPr>
        <w:spacing w:after="120"/>
      </w:pPr>
      <w:r>
        <w:t xml:space="preserve">Al iniciar sesión verá un menú lateral con los módulos. Según su rol, algunos módulos pueden no aparecer. Las secciones son:</w:t>
      </w:r>
    </w:p>
    <w:p>
      <w:pPr>
        <w:pStyle w:val="ListParagraph"/>
        <w:numPr>
          <w:ilvl w:val="0"/>
          <w:numId w:val="2"/>
        </w:numPr>
        <w:spacing w:after="60"/>
      </w:pPr>
      <w:r/>
      <w:r>
        <w:t xml:space="preserve">Inicio, Ventas, Compras, Tasa de Cambio, Clientes, Proveedores, Inventario, Reportes, Punto de Venta, Caja y Bancos.</w:t>
      </w:r>
    </w:p>
    <w:p>
      <w:pPr>
        <w:pStyle w:val="ListParagraph"/>
        <w:numPr>
          <w:ilvl w:val="0"/>
          <w:numId w:val="2"/>
        </w:numPr>
        <w:spacing w:after="60"/>
      </w:pPr>
      <w:r/>
      <w:r>
        <w:t xml:space="preserve">Asientos (Diario), Plan de Cuentas, Libro Mayor, Balance, Estados Financieros.</w:t>
      </w:r>
    </w:p>
    <w:p>
      <w:pPr>
        <w:pStyle w:val="ListParagraph"/>
        <w:numPr>
          <w:ilvl w:val="0"/>
          <w:numId w:val="2"/>
        </w:numPr>
        <w:spacing w:after="60"/>
      </w:pPr>
      <w:r/>
      <w:r>
        <w:t xml:space="preserve">Empleados y Cargos, Planilla Salarial, Prestaciones Sociales, Reportes INSS/INATEC.</w:t>
      </w:r>
    </w:p>
    <w:p>
      <w:pPr>
        <w:pStyle w:val="ListParagraph"/>
        <w:numPr>
          <w:ilvl w:val="0"/>
          <w:numId w:val="2"/>
        </w:numPr>
        <w:spacing w:after="60"/>
      </w:pPr>
      <w:r/>
      <w:r>
        <w:t xml:space="preserve">registro y depreciación de bienes.</w:t>
      </w:r>
    </w:p>
    <w:p>
      <w:pPr>
        <w:pStyle w:val="ListParagraph"/>
        <w:numPr>
          <w:ilvl w:val="0"/>
          <w:numId w:val="2"/>
        </w:numPr>
        <w:spacing w:after="60"/>
      </w:pPr>
      <w:r/>
      <w:r>
        <w:t xml:space="preserve">Calendario, IR Anual, Anticipos IR, IMI, ISC, Retenciones Definitivas, Cumplimiento VET.</w:t>
      </w:r>
    </w:p>
    <w:p>
      <w:pPr>
        <w:pStyle w:val="ListParagraph"/>
        <w:numPr>
          <w:ilvl w:val="0"/>
          <w:numId w:val="2"/>
        </w:numPr>
        <w:spacing w:after="60"/>
      </w:pPr>
      <w:r/>
      <w:r>
        <w:t xml:space="preserve">Cuentas por Cobrar, Cuentas por Pagar, Conciliación Bancaria, Cierre Contable, Notas de Crédito/Débito.</w:t>
      </w:r>
    </w:p>
    <w:p>
      <w:pPr>
        <w:pStyle w:val="ListParagraph"/>
        <w:numPr>
          <w:ilvl w:val="0"/>
          <w:numId w:val="2"/>
        </w:numPr>
        <w:spacing w:after="60"/>
      </w:pPr>
      <w:r/>
      <w:r>
        <w:t xml:space="preserve">Usuarios y Roles, Mi Empresa, Configuración.</w:t>
      </w:r>
    </w:p>
    <w:p>
      <w:pPr>
        <w:pStyle w:val="Heading1"/>
      </w:pPr>
      <w:r>
        <w:t xml:space="preserve">2. Primeros pasos</w:t>
      </w:r>
    </w:p>
    <w:p>
      <w:pPr>
        <w:pStyle w:val="Heading2"/>
      </w:pPr>
      <w:r>
        <w:t xml:space="preserve">2.1 Registro de la empresa</w:t>
      </w:r>
    </w:p>
    <w:p>
      <w:pPr>
        <w:spacing w:after="120"/>
      </w:pPr>
      <w:r>
        <w:t xml:space="preserve">Al registrarse por primera vez, el sistema le pide el tipo de contribuyente:</w:t>
      </w:r>
    </w:p>
    <w:p>
      <w:pPr>
        <w:pStyle w:val="ListParagraph"/>
        <w:numPr>
          <w:ilvl w:val="0"/>
          <w:numId w:val="2"/>
        </w:numPr>
        <w:spacing w:after="60"/>
      </w:pPr>
      <w:r/>
      <w:r>
        <w:t xml:space="preserve">negocios a nombre de una persona física con RUC de 14 dígitos y cédula (formato 001-000000-0000X).</w:t>
      </w:r>
    </w:p>
    <w:p>
      <w:pPr>
        <w:pStyle w:val="ListParagraph"/>
        <w:numPr>
          <w:ilvl w:val="0"/>
          <w:numId w:val="2"/>
        </w:numPr>
        <w:spacing w:after="60"/>
      </w:pPr>
      <w:r/>
      <w:r>
        <w:t xml:space="preserve">sociedades (S.A., Ca. Ltda.) con razón social, nombre comercial, representante legal y RUC.</w:t>
      </w:r>
    </w:p>
    <w:p>
      <w:pPr>
        <w:pStyle w:val="ListParagraph"/>
        <w:numPr>
          <w:ilvl w:val="0"/>
          <w:numId w:val="2"/>
        </w:numPr>
        <w:spacing w:after="60"/>
      </w:pPr>
      <w:r/>
      <w:r>
        <w:t xml:space="preserve">pequeños contribuyentes bajo el régimen simplificado.</w:t>
      </w:r>
    </w:p>
    <w:p>
      <w:pPr>
        <w:spacing w:after="120"/>
      </w:pPr>
      <w:r>
        <w:t xml:space="preserve">Estos datos aparecen impresos en sus facturas y son los que la DGI tiene registrados, por lo que deben coincidir con su cédula RUC. Puede corregirlos después en Configuración.</w:t>
      </w:r>
    </w:p>
    <w:p>
      <w:pPr>
        <w:pStyle w:val="Heading2"/>
      </w:pPr>
      <w:r>
        <w:t xml:space="preserve">2.2 Panel de inicio</w:t>
      </w:r>
    </w:p>
    <w:p>
      <w:pPr>
        <w:spacing w:after="120"/>
      </w:pPr>
      <w:r>
        <w:t xml:space="preserve">El panel de inicio muestra un resumen del mes en curso: ventas facturadas, compras registradas, utilidad bruta y productos con stock bajo. También ofrece accesos rápidos para emitir una factura, registrar una compra y abrir los reportes DGI.</w:t>
      </w:r>
    </w:p>
    <w:p>
      <w:pPr>
        <w:pStyle w:val="Heading1"/>
      </w:pPr>
      <w:r>
        <w:t xml:space="preserve">3. Roles y permisos</w:t>
      </w:r>
    </w:p>
    <w:p>
      <w:pPr>
        <w:spacing w:after="120"/>
      </w:pPr>
      <w:r>
        <w:t xml:space="preserve">SARA maneja cinco roles. El administrador puede invitar usuarios y asignarles un rol desde Usuarios y Roles; además puede personalizar permisos individuales (ver sección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Rol</w:t>
            </w:r>
          </w:p>
        </w:tc>
        <w:tc>
          <w:tcPr>
            <w:tcW w:type="dxa" w:w="776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Qué puede hacer</w:t>
            </w:r>
          </w:p>
        </w:tc>
      </w:tr>
      <w:tr>
        <w:tc>
          <w:tcPr>
            <w:tcW w:type="dxa" w:w="16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Admin</w:t>
            </w:r>
          </w:p>
        </w:tc>
        <w:tc>
          <w:tcPr>
            <w:tcW w:type="dxa" w:w="77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Acceso total: todos los módulos, nómina, cierre contable, usuarios y configuración.</w:t>
            </w:r>
          </w:p>
        </w:tc>
      </w:tr>
      <w:tr>
        <w:tc>
          <w:tcPr>
            <w:tcW w:type="dxa" w:w="16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Contador</w:t>
            </w:r>
          </w:p>
        </w:tc>
        <w:tc>
          <w:tcPr>
            <w:tcW w:type="dxa" w:w="77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Facturación, compras, inventario, contabilidad, caja y bancos, activos fijos, reportes DGI y VET. No ve el detalle de nómina (solo totales para reportes fiscales).</w:t>
            </w:r>
          </w:p>
        </w:tc>
      </w:tr>
      <w:tr>
        <w:tc>
          <w:tcPr>
            <w:tcW w:type="dxa" w:w="16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Auxiliar</w:t>
            </w:r>
          </w:p>
        </w:tc>
        <w:tc>
          <w:tcPr>
            <w:tcW w:type="dxa" w:w="77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Operación contable de apoyo: facturación, compras, inventario, asientos, caja y bancos, activos fijos.</w:t>
            </w:r>
          </w:p>
        </w:tc>
      </w:tr>
      <w:tr>
        <w:tc>
          <w:tcPr>
            <w:tcW w:type="dxa" w:w="16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Ventas</w:t>
            </w:r>
          </w:p>
        </w:tc>
        <w:tc>
          <w:tcPr>
            <w:tcW w:type="dxa" w:w="77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Facturación, punto de venta, clientes, cuentas por cobrar e inventario (consulta).</w:t>
            </w:r>
          </w:p>
        </w:tc>
      </w:tr>
      <w:tr>
        <w:tc>
          <w:tcPr>
            <w:tcW w:type="dxa" w:w="16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Cajero</w:t>
            </w:r>
          </w:p>
        </w:tc>
        <w:tc>
          <w:tcPr>
            <w:tcW w:type="dxa" w:w="77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Punto de venta con caja propia y devoluciones.</w:t>
            </w:r>
          </w:p>
        </w:tc>
      </w:tr>
    </w:tbl>
    <w:p>
      <w:pPr>
        <w:spacing w:after="120"/>
      </w:pPr>
    </w:p>
    <w:p>
      <w:pPr>
        <w:pBdr>
          <w:left w:val="single" w:color="D97706" w:sz="18" w:space="4"/>
        </w:pBdr>
        <w:shd w:fill="FFF6DE" w:val="clear"/>
        <w:spacing w:after="160" w:before="80"/>
      </w:pPr>
      <w:r>
        <w:rPr>
          <w:b/>
          <w:bCs/>
        </w:rPr>
        <w:t xml:space="preserve">Nota: </w:t>
      </w:r>
      <w:r>
        <w:t xml:space="preserve">La seguridad se aplica en dos niveles: el menú oculta lo que el rol no puede usar, y la base de datos rechaza cualquier consulta no autorizada aunque se intente acceder directamente. Los datos salariales, por ejemplo, solo los entrega a un administrador.</w:t>
      </w:r>
    </w:p>
    <w:p>
      <w:pPr>
        <w:pStyle w:val="Heading1"/>
      </w:pPr>
      <w:r>
        <w:t xml:space="preserve">4. Ventas y facturación</w:t>
      </w:r>
    </w:p>
    <w:p>
      <w:pPr>
        <w:pStyle w:val="Heading2"/>
      </w:pPr>
      <w:r>
        <w:t xml:space="preserve">4.1 Emitir una factura</w:t>
      </w:r>
    </w:p>
    <w:p>
      <w:pPr>
        <w:pStyle w:val="ListParagraph"/>
        <w:numPr>
          <w:ilvl w:val="0"/>
          <w:numId w:val="3"/>
        </w:numPr>
        <w:spacing w:after="60"/>
      </w:pPr>
      <w:r>
        <w:t xml:space="preserve">Entre a Ventas y pulse Nueva factura.</w:t>
      </w:r>
    </w:p>
    <w:p>
      <w:pPr>
        <w:pStyle w:val="ListParagraph"/>
        <w:numPr>
          <w:ilvl w:val="0"/>
          <w:numId w:val="3"/>
        </w:numPr>
        <w:spacing w:after="60"/>
      </w:pPr>
      <w:r>
        <w:t xml:space="preserve">Seleccione el cliente (o déjelo como Consumidor final) y la fecha.</w:t>
      </w:r>
    </w:p>
    <w:p>
      <w:pPr>
        <w:pStyle w:val="ListParagraph"/>
        <w:numPr>
          <w:ilvl w:val="0"/>
          <w:numId w:val="3"/>
        </w:numPr>
        <w:spacing w:after="60"/>
      </w:pPr>
      <w:r>
        <w:t xml:space="preserve">Agregue las líneas: producto del inventario o descripción libre, cantidad y precio. El IVA 15% se calcula automáticamente en los productos gravados.</w:t>
      </w:r>
    </w:p>
    <w:p>
      <w:pPr>
        <w:pStyle w:val="ListParagraph"/>
        <w:numPr>
          <w:ilvl w:val="0"/>
          <w:numId w:val="3"/>
        </w:numPr>
        <w:spacing w:after="60"/>
      </w:pPr>
      <w:r>
        <w:t xml:space="preserve">Elija el tipo de pago: contado, tarjeta, transferencia o crédito (va a Cuentas por Cobrar).</w:t>
      </w:r>
    </w:p>
    <w:p>
      <w:pPr>
        <w:pStyle w:val="ListParagraph"/>
        <w:numPr>
          <w:ilvl w:val="0"/>
          <w:numId w:val="3"/>
        </w:numPr>
        <w:spacing w:after="60"/>
      </w:pPr>
      <w:r>
        <w:t xml:space="preserve">Guarde como borrador (editable) o emita la factura. Al emitirla se descuenta el inventario y se genera el asiento contable automáticamente.</w:t>
      </w:r>
    </w:p>
    <w:p>
      <w:pPr>
        <w:pStyle w:val="Heading2"/>
      </w:pPr>
      <w:r>
        <w:t xml:space="preserve">4.2 Cobrar una factura</w:t>
      </w:r>
    </w:p>
    <w:p>
      <w:pPr>
        <w:spacing w:after="120"/>
      </w:pPr>
      <w:r>
        <w:t xml:space="preserve">Desde el detalle de la factura, el botón Cobrar abre el modal de cobro en caja: puede contar el efectivo por denominaciones (C$500, C$200...) o digitar el monto recibido. El sistema calcula el cambio y sugiere su desglose en billetes. La factura queda en estado Pagada.</w:t>
      </w:r>
    </w:p>
    <w:p>
      <w:pPr>
        <w:pStyle w:val="Heading2"/>
      </w:pPr>
      <w:r>
        <w:t xml:space="preserve">4.3 Anulaciones y devoluciones (Notas de Crédito)</w:t>
      </w:r>
    </w:p>
    <w:p>
      <w:pPr>
        <w:spacing w:after="120"/>
      </w:pPr>
      <w:r>
        <w:t xml:space="preserve">Para anular una factura emitida use Anular / NC en su detalle. Hay dos modos:</w:t>
      </w:r>
    </w:p>
    <w:p>
      <w:pPr>
        <w:pStyle w:val="ListParagraph"/>
        <w:numPr>
          <w:ilvl w:val="0"/>
          <w:numId w:val="2"/>
        </w:numPr>
        <w:spacing w:after="60"/>
      </w:pPr>
      <w:r/>
      <w:r>
        <w:t xml:space="preserve">devuelve todos los ítems, restaura el inventario completo y deja la factura Anulada.</w:t>
      </w:r>
    </w:p>
    <w:p>
      <w:pPr>
        <w:pStyle w:val="ListParagraph"/>
        <w:numPr>
          <w:ilvl w:val="0"/>
          <w:numId w:val="2"/>
        </w:numPr>
        <w:spacing w:after="60"/>
      </w:pPr>
      <w:r/>
      <w:r>
        <w:t xml:space="preserve">elige ítems y cantidades; la factura sigue emitida con sus totales ajustados.</w:t>
      </w:r>
    </w:p>
    <w:p>
      <w:pPr>
        <w:spacing w:after="120"/>
      </w:pPr>
      <w:r>
        <w:t xml:space="preserve">En ambos casos el sistema genera automáticamente una Nota de Crédito con su motivo, registrada en el módulo de Notas Crédito/Débito, y revierte el efecto contable. Las facturas anuladas no aparecen en el Libro de Ventas ni en la planilla de ingresos.</w:t>
      </w:r>
    </w:p>
    <w:p>
      <w:pPr>
        <w:pStyle w:val="Heading2"/>
      </w:pPr>
      <w:r>
        <w:t xml:space="preserve">4.4 Imprimir</w:t>
      </w:r>
    </w:p>
    <w:p>
      <w:pPr>
        <w:pStyle w:val="ListParagraph"/>
        <w:numPr>
          <w:ilvl w:val="0"/>
          <w:numId w:val="2"/>
        </w:numPr>
        <w:spacing w:after="60"/>
      </w:pPr>
      <w:r/>
      <w:r>
        <w:t xml:space="preserve">formato carta con logo/datos fiscales de su empresa, RUC del cliente, detalle, IVA y total.</w:t>
      </w:r>
    </w:p>
    <w:p>
      <w:pPr>
        <w:pStyle w:val="ListParagraph"/>
        <w:numPr>
          <w:ilvl w:val="0"/>
          <w:numId w:val="2"/>
        </w:numPr>
        <w:spacing w:after="60"/>
      </w:pPr>
      <w:r/>
      <w:r>
        <w:t xml:space="preserve">para impresoras térmicas de punto de venta; incluye monto recibido y cambio.</w:t>
      </w:r>
    </w:p>
    <w:p>
      <w:pPr>
        <w:pStyle w:val="Heading1"/>
      </w:pPr>
      <w:r>
        <w:t xml:space="preserve">5. Punto de Venta (POS)</w:t>
      </w:r>
    </w:p>
    <w:p>
      <w:pPr>
        <w:spacing w:after="120"/>
      </w:pPr>
      <w:r>
        <w:t xml:space="preserve">El POS está pensado para ventas rápidas de mostrador con control estricto del efectivo por turnos.</w:t>
      </w:r>
    </w:p>
    <w:p>
      <w:pPr>
        <w:pStyle w:val="Heading2"/>
      </w:pPr>
      <w:r>
        <w:t xml:space="preserve">5.1 Abrir turno</w:t>
      </w:r>
    </w:p>
    <w:p>
      <w:pPr>
        <w:pStyle w:val="ListParagraph"/>
        <w:numPr>
          <w:ilvl w:val="0"/>
          <w:numId w:val="3"/>
        </w:numPr>
        <w:spacing w:after="60"/>
      </w:pPr>
      <w:r>
        <w:t xml:space="preserve">Entre a Punto de Venta. Si no hay turno abierto, el sistema le pide elegir una caja disponible y el monto de apertura (efectivo inicial).</w:t>
      </w:r>
    </w:p>
    <w:p>
      <w:pPr>
        <w:pStyle w:val="ListParagraph"/>
        <w:numPr>
          <w:ilvl w:val="0"/>
          <w:numId w:val="3"/>
        </w:numPr>
        <w:spacing w:after="60"/>
      </w:pPr>
      <w:r>
        <w:t xml:space="preserve">Al abrir el turno, la caja queda ocupada a su nombre hasta que la cierre.</w:t>
      </w:r>
    </w:p>
    <w:p>
      <w:pPr>
        <w:pStyle w:val="Heading2"/>
      </w:pPr>
      <w:r>
        <w:t xml:space="preserve">5.2 Vender</w:t>
      </w:r>
    </w:p>
    <w:p>
      <w:pPr>
        <w:pStyle w:val="ListParagraph"/>
        <w:numPr>
          <w:ilvl w:val="0"/>
          <w:numId w:val="3"/>
        </w:numPr>
        <w:spacing w:after="60"/>
      </w:pPr>
      <w:r>
        <w:t xml:space="preserve">Busque el producto por nombre o código, o escanee el código de barras (el lector funciona como teclado: escanee y el producto entra al carrito).</w:t>
      </w:r>
    </w:p>
    <w:p>
      <w:pPr>
        <w:pStyle w:val="ListParagraph"/>
        <w:numPr>
          <w:ilvl w:val="0"/>
          <w:numId w:val="3"/>
        </w:numPr>
        <w:spacing w:after="60"/>
      </w:pPr>
      <w:r>
        <w:t xml:space="preserve">Ajuste cantidades en el carrito. El subtotal, IVA y total se actualizan en vivo.</w:t>
      </w:r>
    </w:p>
    <w:p>
      <w:pPr>
        <w:pStyle w:val="ListParagraph"/>
        <w:numPr>
          <w:ilvl w:val="0"/>
          <w:numId w:val="3"/>
        </w:numPr>
        <w:spacing w:after="60"/>
      </w:pPr>
      <w:r>
        <w:t xml:space="preserve">Seleccione cliente (opcional), tipo de pago y, si es efectivo, el monto recibido para calcular el cambio.</w:t>
      </w:r>
    </w:p>
    <w:p>
      <w:pPr>
        <w:pStyle w:val="ListParagraph"/>
        <w:numPr>
          <w:ilvl w:val="0"/>
          <w:numId w:val="3"/>
        </w:numPr>
        <w:spacing w:after="60"/>
      </w:pPr>
      <w:r>
        <w:t xml:space="preserve">Pulse Cobrar. La venta genera su factura, descuenta stock, registra el movimiento en la sesión de caja y muestra el modal de venta exitosa con el cambio a entregar.</w:t>
      </w:r>
    </w:p>
    <w:p>
      <w:pPr>
        <w:pStyle w:val="ListParagraph"/>
        <w:numPr>
          <w:ilvl w:val="0"/>
          <w:numId w:val="3"/>
        </w:numPr>
        <w:spacing w:after="60"/>
      </w:pPr>
      <w:r>
        <w:t xml:space="preserve">Desde ese modal puede imprimir el ticket en 58mm u 80mm, o continuar sin imprimir.</w:t>
      </w:r>
    </w:p>
    <w:p>
      <w:pPr>
        <w:pStyle w:val="Heading2"/>
      </w:pPr>
      <w:r>
        <w:t xml:space="preserve">5.3 Devoluciones</w:t>
      </w:r>
    </w:p>
    <w:p>
      <w:pPr>
        <w:spacing w:after="120"/>
      </w:pPr>
      <w:r>
        <w:t xml:space="preserve">El botón Devolución permite buscar la factura, elegir los ítems devueltos y procesar el reintegro; genera la nota de crédito y el movimiento de caja correspondiente dentro del turno.</w:t>
      </w:r>
    </w:p>
    <w:p>
      <w:pPr>
        <w:pStyle w:val="Heading2"/>
      </w:pPr>
      <w:r>
        <w:t xml:space="preserve">5.4 Cerrar turno (arqueo)</w:t>
      </w:r>
    </w:p>
    <w:p>
      <w:pPr>
        <w:pStyle w:val="ListParagraph"/>
        <w:numPr>
          <w:ilvl w:val="0"/>
          <w:numId w:val="3"/>
        </w:numPr>
        <w:spacing w:after="60"/>
      </w:pPr>
      <w:r>
        <w:t xml:space="preserve">Pulse Cerrar turno. Cuente físicamente el efectivo por denominaciones en córdobas y, si recibió dólares, ingrese la tasa del día y cuente los billetes USD.</w:t>
      </w:r>
    </w:p>
    <w:p>
      <w:pPr>
        <w:pStyle w:val="ListParagraph"/>
        <w:numPr>
          <w:ilvl w:val="0"/>
          <w:numId w:val="3"/>
        </w:numPr>
        <w:spacing w:after="60"/>
      </w:pPr>
      <w:r>
        <w:t xml:space="preserve">El sistema compara el efectivo físico contra lo que debería haber según las ventas (apertura + ventas en efectivo − devoluciones) y reporta si la caja cuadró, o el sobrante/faltante.</w:t>
      </w:r>
    </w:p>
    <w:p>
      <w:pPr>
        <w:spacing w:after="120"/>
      </w:pPr>
      <w:r>
        <w:t xml:space="preserve">El historial de arqueos cerrados se consulta en Caja y Bancos &gt; Arqueos de Caja.</w:t>
      </w:r>
    </w:p>
    <w:p>
      <w:pPr>
        <w:pStyle w:val="Heading1"/>
      </w:pPr>
      <w:r>
        <w:t xml:space="preserve">6. Compras</w:t>
      </w:r>
    </w:p>
    <w:p>
      <w:pPr>
        <w:pStyle w:val="Heading2"/>
      </w:pPr>
      <w:r>
        <w:t xml:space="preserve">6.1 Registrar una compra</w:t>
      </w:r>
    </w:p>
    <w:p>
      <w:pPr>
        <w:pStyle w:val="ListParagraph"/>
        <w:numPr>
          <w:ilvl w:val="0"/>
          <w:numId w:val="3"/>
        </w:numPr>
        <w:spacing w:after="60"/>
      </w:pPr>
      <w:r>
        <w:t xml:space="preserve">Entre a Compras &gt; Nueva. Seleccione el proveedor y la fecha, y anote el número de factura del proveedor.</w:t>
      </w:r>
    </w:p>
    <w:p>
      <w:pPr>
        <w:pStyle w:val="ListParagraph"/>
        <w:numPr>
          <w:ilvl w:val="0"/>
          <w:numId w:val="3"/>
        </w:numPr>
        <w:spacing w:after="60"/>
      </w:pPr>
      <w:r>
        <w:t xml:space="preserve">Agregue las líneas de productos o servicios. Puede crear productos nuevos sin salir del formulario.</w:t>
      </w:r>
    </w:p>
    <w:p>
      <w:pPr>
        <w:pStyle w:val="ListParagraph"/>
        <w:numPr>
          <w:ilvl w:val="0"/>
          <w:numId w:val="3"/>
        </w:numPr>
        <w:spacing w:after="60"/>
      </w:pPr>
      <w:r>
        <w:t xml:space="preserve">Elija el tipo de pago y la cuenta de caja o banco de donde sale el dinero (soporta cuentas en USD con tasa de cambio).</w:t>
      </w:r>
    </w:p>
    <w:p>
      <w:pPr>
        <w:pStyle w:val="ListParagraph"/>
        <w:numPr>
          <w:ilvl w:val="0"/>
          <w:numId w:val="3"/>
        </w:numPr>
        <w:spacing w:after="60"/>
      </w:pPr>
      <w:r>
        <w:t xml:space="preserve">Guarde como Borrador (editable, sin efectos) o Recibida: al recibirla, el inventario entra automáticamente y se genera el asiento contable.</w:t>
      </w:r>
    </w:p>
    <w:p>
      <w:pPr>
        <w:pStyle w:val="Heading2"/>
      </w:pPr>
      <w:r>
        <w:t xml:space="preserve">6.2 Retención IR en la fuente</w:t>
      </w:r>
    </w:p>
    <w:p>
      <w:pPr>
        <w:spacing w:after="120"/>
      </w:pPr>
      <w:r>
        <w:t xml:space="preserve">Al comprar, la empresa puede estar obligada a retener IR al proveedor (art. 44 LCT). SARA incluye el catálogo oficial de códigos de retención de la DGI; seleccione el que corresponde y el sistema calcula la retención, muestra el total a pagar al proveedor y alimenta la planilla de retenciones de la DMI: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Código</w:t>
            </w:r>
          </w:p>
        </w:tc>
        <w:tc>
          <w:tcPr>
            <w:tcW w:type="dxa" w:w="626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Concepto</w:t>
            </w:r>
          </w:p>
        </w:tc>
        <w:tc>
          <w:tcPr>
            <w:tcW w:type="dxa" w:w="170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Alícuota</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22</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Compra de bienes y servicios en general</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23</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Trabajos de construcción</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24</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Alquiler y arrendamiento</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25</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Compraventa de bienes agropecuarios</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3%</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26</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Madera en rollo</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5%</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27</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Servicios profesionales o técnicos (persona natural)</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10%</w:t>
            </w:r>
          </w:p>
        </w:tc>
      </w:tr>
      <w:tr>
        <w:tc>
          <w:tcPr>
            <w:tcW w:type="dxa" w:w="14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211</w:t>
            </w:r>
          </w:p>
        </w:tc>
        <w:tc>
          <w:tcPr>
            <w:tcW w:type="dxa" w:w="62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Otras actividades</w:t>
            </w:r>
          </w:p>
        </w:tc>
        <w:tc>
          <w:tcPr>
            <w:tcW w:type="dxa" w:w="17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10%</w:t>
            </w:r>
          </w:p>
        </w:tc>
      </w:tr>
    </w:tbl>
    <w:p>
      <w:pPr>
        <w:spacing w:after="120"/>
      </w:pPr>
    </w:p>
    <w:p>
      <w:pPr>
        <w:spacing w:after="120"/>
      </w:pPr>
      <w:r>
        <w:t xml:space="preserve">Si el proveedor es persona natural, el sistema preselecciona el código 22 (2% general); cámbielo a 27 cuando pague honorarios profesionales (abogados, contadores externos, técnicos, consultores).</w:t>
      </w:r>
    </w:p>
    <w:p>
      <w:pPr>
        <w:pBdr>
          <w:left w:val="single" w:color="DC2626" w:sz="18" w:space="4"/>
        </w:pBdr>
        <w:shd w:fill="FDE8E8" w:val="clear"/>
        <w:spacing w:after="160" w:before="80"/>
      </w:pPr>
      <w:r>
        <w:rPr>
          <w:b/>
          <w:bCs/>
        </w:rPr>
        <w:t xml:space="preserve">Importante: </w:t>
      </w:r>
      <w:r>
        <w:t xml:space="preserve">Las personas contratadas por </w:t>
      </w:r>
      <w:r>
        <w:rPr>
          <w:b/>
          <w:bCs/>
        </w:rPr>
        <w:t xml:space="preserve">servicios profesionales</w:t>
      </w:r>
      <w:r>
        <w:t xml:space="preserve"> NO se registran en la planilla de nómina: no son empleados, no cotizan INSS ni acumulan prestaciones. Regístrelas como una compra de servicios con retención del 10% (código 27). El gasto queda deducible y la retención entra automáticamente en la planilla de retenciones que se declara en la VET. La nómina es solo para empleados con relación laboral (salario, INSS, aguinaldo, vacaciones).</w:t>
      </w:r>
    </w:p>
    <w:p>
      <w:pPr>
        <w:pStyle w:val="Heading2"/>
      </w:pPr>
      <w:r>
        <w:t xml:space="preserve">6.3 ISC desglosado (opcional)</w:t>
      </w:r>
    </w:p>
    <w:p>
      <w:pPr>
        <w:spacing w:after="120"/>
      </w:pPr>
      <w:r>
        <w:t xml:space="preserve">Si la factura del proveedor desglosa Impuesto Selectivo al Consumo (típico en combustibles e industria fiscal), anótelo en el campo “ISC pagado en la factura”. Es informativo: no altera el total de la compra, pero alimenta la planilla de Crédito Fiscal ISC de la DMI.</w:t>
      </w:r>
    </w:p>
    <w:p>
      <w:pPr>
        <w:pStyle w:val="Heading1"/>
      </w:pPr>
      <w:r>
        <w:t xml:space="preserve">7. Clientes y proveedores</w:t>
      </w:r>
    </w:p>
    <w:p>
      <w:pPr>
        <w:spacing w:after="120"/>
      </w:pPr>
      <w:r>
        <w:t xml:space="preserve">Ambos catálogos funcionan igual: nombre, RUC o cédula, dirección, teléfono y correo. En proveedores es clave marcar correctamente el tipo de persona (natural o jurídica), porque determina la retención IR sugerida al comprar. En clientes, el RUC/cédula aparece en la factura y en el Libro de Ventas que revisa la DGI.</w:t>
      </w:r>
    </w:p>
    <w:p>
      <w:pPr>
        <w:pStyle w:val="Heading1"/>
      </w:pPr>
      <w:r>
        <w:t xml:space="preserve">8. Inventario</w:t>
      </w:r>
    </w:p>
    <w:p>
      <w:pPr>
        <w:pStyle w:val="ListParagraph"/>
        <w:numPr>
          <w:ilvl w:val="0"/>
          <w:numId w:val="2"/>
        </w:numPr>
        <w:spacing w:after="60"/>
      </w:pPr>
      <w:r>
        <w:t xml:space="preserve">Catálogo de productos con código interno, código de barras, unidad de medida, precio de venta, si aplica IVA y stock mínimo.</w:t>
      </w:r>
    </w:p>
    <w:p>
      <w:pPr>
        <w:pStyle w:val="ListParagraph"/>
        <w:numPr>
          <w:ilvl w:val="0"/>
          <w:numId w:val="2"/>
        </w:numPr>
        <w:spacing w:after="60"/>
      </w:pPr>
      <w:r>
        <w:t xml:space="preserve">El stock se mueve solo: entra al recibir compras, sale al facturar o vender en el POS, y se restaura con devoluciones.</w:t>
      </w:r>
    </w:p>
    <w:p>
      <w:pPr>
        <w:pStyle w:val="ListParagraph"/>
        <w:numPr>
          <w:ilvl w:val="0"/>
          <w:numId w:val="2"/>
        </w:numPr>
        <w:spacing w:after="60"/>
      </w:pPr>
      <w:r>
        <w:t xml:space="preserve">Cada movimiento queda registrado con su documento de origen para auditoría.</w:t>
      </w:r>
    </w:p>
    <w:p>
      <w:pPr>
        <w:pStyle w:val="ListParagraph"/>
        <w:numPr>
          <w:ilvl w:val="0"/>
          <w:numId w:val="2"/>
        </w:numPr>
        <w:spacing w:after="60"/>
      </w:pPr>
      <w:r>
        <w:t xml:space="preserve">El costo de venta se contabiliza automáticamente al facturar (método de lotes/costo de adquisición).</w:t>
      </w:r>
    </w:p>
    <w:p>
      <w:pPr>
        <w:pStyle w:val="ListParagraph"/>
        <w:numPr>
          <w:ilvl w:val="0"/>
          <w:numId w:val="2"/>
        </w:numPr>
        <w:spacing w:after="60"/>
      </w:pPr>
      <w:r>
        <w:t xml:space="preserve">El panel de inicio avisa cuando un producto cae bajo su stock mínimo.</w:t>
      </w:r>
    </w:p>
    <w:p>
      <w:pPr>
        <w:pBdr>
          <w:left w:val="single" w:color="D97706" w:sz="18" w:space="4"/>
        </w:pBdr>
        <w:shd w:fill="FFF6DE" w:val="clear"/>
        <w:spacing w:after="160" w:before="80"/>
      </w:pPr>
      <w:r>
        <w:rPr>
          <w:b/>
          <w:bCs/>
        </w:rPr>
        <w:t xml:space="preserve">Nota: </w:t>
      </w:r>
      <w:r>
        <w:t xml:space="preserve">El sistema bloquea ventas que dejarían el inventario en negativo y alerta sobre saldos inconsistentes.</w:t>
      </w:r>
    </w:p>
    <w:p>
      <w:pPr>
        <w:pStyle w:val="Heading1"/>
      </w:pPr>
      <w:r>
        <w:t xml:space="preserve">9. Tasa de cambio</w:t>
      </w:r>
    </w:p>
    <w:p>
      <w:pPr>
        <w:spacing w:after="120"/>
      </w:pPr>
      <w:r>
        <w:t xml:space="preserve">En Tasa de Cambio se registra la tasa oficial C$/US$ del día (BCN). El sistema la usa para operar cuentas bancarias y cajas en dólares: al pagar una compra o depositar una venta en una cuenta USD, el monto en córdobas se convierte con la tasa vigente y el diferencial cambiario queda documentado.</w:t>
      </w:r>
    </w:p>
    <w:p>
      <w:pPr>
        <w:pStyle w:val="Heading1"/>
      </w:pPr>
      <w:r>
        <w:t xml:space="preserve">10. Caja y bancos</w:t>
      </w:r>
    </w:p>
    <w:p>
      <w:pPr>
        <w:spacing w:after="120"/>
      </w:pPr>
      <w:r>
        <w:t xml:space="preserve">Este módulo centraliza el efectivo y las cuentas bancarias (disponible para admin, contador y auxiliar):</w:t>
      </w:r>
    </w:p>
    <w:p>
      <w:pPr>
        <w:pStyle w:val="ListParagraph"/>
        <w:numPr>
          <w:ilvl w:val="0"/>
          <w:numId w:val="2"/>
        </w:numPr>
        <w:spacing w:after="60"/>
      </w:pPr>
      <w:r/>
      <w:r>
        <w:t xml:space="preserve">cajas generales o de POS, en córdobas o dólares, con su saldo en vivo.</w:t>
      </w:r>
    </w:p>
    <w:p>
      <w:pPr>
        <w:pStyle w:val="ListParagraph"/>
        <w:numPr>
          <w:ilvl w:val="0"/>
          <w:numId w:val="2"/>
        </w:numPr>
        <w:spacing w:after="60"/>
      </w:pPr>
      <w:r/>
      <w:r>
        <w:t xml:space="preserve">por banco y moneda, con saldo actualizado por cada operación.</w:t>
      </w:r>
    </w:p>
    <w:p>
      <w:pPr>
        <w:pStyle w:val="ListParagraph"/>
        <w:numPr>
          <w:ilvl w:val="0"/>
          <w:numId w:val="2"/>
        </w:numPr>
        <w:spacing w:after="60"/>
      </w:pPr>
      <w:r/>
      <w:r>
        <w:t xml:space="preserve">depósitos, retiros, transferencias entre cuentas y pagos; cada una genera su asiento contable.</w:t>
      </w:r>
    </w:p>
    <w:p>
      <w:pPr>
        <w:pStyle w:val="ListParagraph"/>
        <w:numPr>
          <w:ilvl w:val="0"/>
          <w:numId w:val="2"/>
        </w:numPr>
        <w:spacing w:after="60"/>
      </w:pPr>
      <w:r/>
      <w:r>
        <w:t xml:space="preserve">emisión y control de estado (emitido, cobrado, anulado).</w:t>
      </w:r>
    </w:p>
    <w:p>
      <w:pPr>
        <w:pStyle w:val="ListParagraph"/>
        <w:numPr>
          <w:ilvl w:val="0"/>
          <w:numId w:val="2"/>
        </w:numPr>
        <w:spacing w:after="60"/>
      </w:pPr>
      <w:r/>
      <w:r>
        <w:t xml:space="preserve">historial de los cierres de turno del POS con sus diferencias.</w:t>
      </w:r>
    </w:p>
    <w:p>
      <w:pPr>
        <w:pStyle w:val="Heading1"/>
      </w:pPr>
      <w:r>
        <w:t xml:space="preserve">11. Contabilidad</w:t>
      </w:r>
    </w:p>
    <w:p>
      <w:pPr>
        <w:pStyle w:val="Heading2"/>
      </w:pPr>
      <w:r>
        <w:t xml:space="preserve">11.1 Plan de cuentas</w:t>
      </w:r>
    </w:p>
    <w:p>
      <w:pPr>
        <w:spacing w:after="120"/>
      </w:pPr>
      <w:r>
        <w:t xml:space="preserve">SARA trae un catálogo de cuentas estándar para Nicaragua (activos, pasivos, patrimonio, ingresos, costos y gastos) con las cuentas fiscales ya creadas: IVA por pagar/acreditable, retenciones, INSS e INATEC por pagar, anticipos IR, IMI, ISC, provisiones laborales, etc. Puede agregar cuentas propias respetando la estructura de niveles.</w:t>
      </w:r>
    </w:p>
    <w:p>
      <w:pPr>
        <w:pStyle w:val="Heading2"/>
      </w:pPr>
      <w:r>
        <w:t xml:space="preserve">11.2 Asientos contables (Libro Diario)</w:t>
      </w:r>
    </w:p>
    <w:p>
      <w:pPr>
        <w:spacing w:after="120"/>
      </w:pPr>
      <w:r>
        <w:t xml:space="preserve">La gran mayoría de los asientos se generan solos: al emitir facturas (ingreso, IVA débito, costo de venta), recibir compras (inventario/gasto, IVA crédito, retenciones), pagar planilla, depreciar activos, declarar tributos, mover caja/bancos y aplicar notas de crédito. También puede registrar asientos manuales; el sistema exige que cuadren (debe = haber).</w:t>
      </w:r>
    </w:p>
    <w:p>
      <w:pPr>
        <w:spacing w:after="120"/>
      </w:pPr>
      <w:r>
        <w:t xml:space="preserve">Los asientos automáticos quedan enlazados a su documento de origen. Anular el documento revierte su asiento.</w:t>
      </w:r>
    </w:p>
    <w:p>
      <w:pPr>
        <w:pStyle w:val="Heading2"/>
      </w:pPr>
      <w:r>
        <w:t xml:space="preserve">11.3 Libro Mayor y Balance de Comprobación</w:t>
      </w:r>
    </w:p>
    <w:p>
      <w:pPr>
        <w:spacing w:after="120"/>
      </w:pPr>
      <w:r>
        <w:t xml:space="preserve">El Libro Mayor muestra los movimientos y saldo de cada cuenta en el período elegido. El Balance de Comprobación lista todas las cuentas con sus débitos, créditos y saldos, verificando el cuadre global de la contabilidad.</w:t>
      </w:r>
    </w:p>
    <w:p>
      <w:pPr>
        <w:pStyle w:val="Heading1"/>
      </w:pPr>
      <w:r>
        <w:t xml:space="preserve">12. Estados financieros</w:t>
      </w:r>
    </w:p>
    <w:p>
      <w:pPr>
        <w:spacing w:after="120"/>
      </w:pPr>
      <w:r>
        <w:t xml:space="preserve">En Contabilidad &gt; Estados Financieros (NIIF para PYMES, período fiscal calendario) se generan al instante:</w:t>
      </w:r>
    </w:p>
    <w:p>
      <w:pPr>
        <w:pStyle w:val="ListParagraph"/>
        <w:numPr>
          <w:ilvl w:val="0"/>
          <w:numId w:val="2"/>
        </w:numPr>
        <w:spacing w:after="60"/>
      </w:pPr>
      <w:r/>
      <w:r>
        <w:t xml:space="preserve">ingresos, costos y gastos; base para el IR Anual (F106). Con opción comparativa contra el año anterior.</w:t>
      </w:r>
    </w:p>
    <w:p>
      <w:pPr>
        <w:pStyle w:val="ListParagraph"/>
        <w:numPr>
          <w:ilvl w:val="0"/>
          <w:numId w:val="2"/>
        </w:numPr>
        <w:spacing w:after="60"/>
      </w:pPr>
      <w:r/>
      <w:r>
        <w:t xml:space="preserve">activos, pasivos y patrimonio a la fecha de corte, con verificación de cuadre.</w:t>
      </w:r>
    </w:p>
    <w:p>
      <w:pPr>
        <w:pStyle w:val="ListParagraph"/>
        <w:numPr>
          <w:ilvl w:val="0"/>
          <w:numId w:val="2"/>
        </w:numPr>
        <w:spacing w:after="60"/>
      </w:pPr>
      <w:r/>
      <w:r>
        <w:t xml:space="preserve">método indirecto: operación, inversión y financiamiento.</w:t>
      </w:r>
    </w:p>
    <w:p>
      <w:pPr>
        <w:pStyle w:val="ListParagraph"/>
        <w:numPr>
          <w:ilvl w:val="0"/>
          <w:numId w:val="2"/>
        </w:numPr>
        <w:spacing w:after="60"/>
      </w:pPr>
      <w:r/>
      <w:r>
        <w:t xml:space="preserve">capital social, reserva legal y utilidades retenidas.</w:t>
      </w:r>
    </w:p>
    <w:p>
      <w:pPr>
        <w:spacing w:after="120"/>
      </w:pPr>
      <w:r>
        <w:t xml:space="preserve">Cada estado puede imprimirse y guardarse como respaldo del período con el botón Guardar. Los guardados se consultan en Ver historial, donde puede regenerarlos o eliminarlos.</w:t>
      </w:r>
    </w:p>
    <w:p>
      <w:pPr>
        <w:pStyle w:val="Heading1"/>
      </w:pPr>
      <w:r>
        <w:t xml:space="preserve">13. Nómina</w:t>
      </w:r>
    </w:p>
    <w:p>
      <w:pPr>
        <w:pBdr>
          <w:left w:val="single" w:color="D97706" w:sz="18" w:space="4"/>
        </w:pBdr>
        <w:shd w:fill="FFF6DE" w:val="clear"/>
        <w:spacing w:after="160" w:before="80"/>
      </w:pPr>
      <w:r>
        <w:rPr>
          <w:b/>
          <w:bCs/>
        </w:rPr>
        <w:t xml:space="preserve">Nota: </w:t>
      </w:r>
      <w:r>
        <w:t xml:space="preserve">Por su sensibilidad, la nómina completa solo es visible para administradores. El contador ve únicamente los totales necesarios para reportes fiscales.</w:t>
      </w:r>
    </w:p>
    <w:p>
      <w:pPr>
        <w:pStyle w:val="Heading2"/>
      </w:pPr>
      <w:r>
        <w:t xml:space="preserve">13.1 Empleados y cargos</w:t>
      </w:r>
    </w:p>
    <w:p>
      <w:pPr>
        <w:spacing w:after="120"/>
      </w:pPr>
      <w:r>
        <w:t xml:space="preserve">Registre cada empleado con sus datos personales, número INSS, cargo, salario base, fecha de ingreso y régimen INSS (integral, IVM-RP o facultativo).</w:t>
      </w:r>
    </w:p>
    <w:p>
      <w:pPr>
        <w:pStyle w:val="Heading2"/>
      </w:pPr>
      <w:r>
        <w:t xml:space="preserve">13.2 Planilla salarial</w:t>
      </w:r>
    </w:p>
    <w:p>
      <w:pPr>
        <w:pStyle w:val="ListParagraph"/>
        <w:numPr>
          <w:ilvl w:val="0"/>
          <w:numId w:val="3"/>
        </w:numPr>
        <w:spacing w:after="60"/>
      </w:pPr>
      <w:r>
        <w:t xml:space="preserve">Cree la planilla del mes: el sistema carga los empleados activos con su salario base.</w:t>
      </w:r>
    </w:p>
    <w:p>
      <w:pPr>
        <w:pStyle w:val="ListParagraph"/>
        <w:numPr>
          <w:ilvl w:val="0"/>
          <w:numId w:val="3"/>
        </w:numPr>
        <w:spacing w:after="60"/>
      </w:pPr>
      <w:r>
        <w:t xml:space="preserve">Ajuste por empleado: días trabajados, horas extra (pagadas al doble, art. 51 CT), comisiones, bonificaciones, adelantos y otros descuentos.</w:t>
      </w:r>
    </w:p>
    <w:p>
      <w:pPr>
        <w:pStyle w:val="ListParagraph"/>
        <w:numPr>
          <w:ilvl w:val="0"/>
          <w:numId w:val="3"/>
        </w:numPr>
        <w:spacing w:after="60"/>
      </w:pPr>
      <w:r>
        <w:t xml:space="preserve">Pulse Calcular: SARA aplica automáticamente todas las deducciones y aportes.</w:t>
      </w:r>
    </w:p>
    <w:p>
      <w:pPr>
        <w:pStyle w:val="ListParagraph"/>
        <w:numPr>
          <w:ilvl w:val="0"/>
          <w:numId w:val="3"/>
        </w:numPr>
        <w:spacing w:after="60"/>
      </w:pPr>
      <w:r>
        <w:t xml:space="preserve">Guarde la planilla: se registran los acumulados de IR y prestaciones de cada empleado y se genera el asiento contable del devengo completo.</w:t>
      </w:r>
    </w:p>
    <w:p>
      <w:pPr>
        <w:spacing w:after="120"/>
      </w:pPr>
      <w:r>
        <w:t xml:space="preserve">Cálculos automáticos por 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Concepto</w:t>
            </w:r>
          </w:p>
        </w:tc>
        <w:tc>
          <w:tcPr>
            <w:tcW w:type="dxa" w:w="556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Cálculo</w:t>
            </w:r>
          </w:p>
        </w:tc>
      </w:tr>
      <w:tr>
        <w:tc>
          <w:tcPr>
            <w:tcW w:type="dxa" w:w="38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INSS laboral</w:t>
            </w:r>
          </w:p>
        </w:tc>
        <w:tc>
          <w:tcPr>
            <w:tcW w:type="dxa" w:w="55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7% del salario (régimen integral) — deducción al empleado</w:t>
            </w:r>
          </w:p>
        </w:tc>
      </w:tr>
      <w:tr>
        <w:tc>
          <w:tcPr>
            <w:tcW w:type="dxa" w:w="38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IR laboral</w:t>
            </w:r>
          </w:p>
        </w:tc>
        <w:tc>
          <w:tcPr>
            <w:tcW w:type="dxa" w:w="55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Tabla progresiva anual (art. 23 LCT) con proyección y acumulados: exento hasta C$100,000 anuales; 15% a 30% por tramos</w:t>
            </w:r>
          </w:p>
        </w:tc>
      </w:tr>
      <w:tr>
        <w:tc>
          <w:tcPr>
            <w:tcW w:type="dxa" w:w="38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INSS patronal</w:t>
            </w:r>
          </w:p>
        </w:tc>
        <w:tc>
          <w:tcPr>
            <w:tcW w:type="dxa" w:w="55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21.5% (menos de 50 empleados) o 22.5% (50 o más) — configurable en Configuración; gasto de la empresa</w:t>
            </w:r>
          </w:p>
        </w:tc>
      </w:tr>
      <w:tr>
        <w:tc>
          <w:tcPr>
            <w:tcW w:type="dxa" w:w="38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INATEC</w:t>
            </w:r>
          </w:p>
        </w:tc>
        <w:tc>
          <w:tcPr>
            <w:tcW w:type="dxa" w:w="55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2% — gasto de la empresa</w:t>
            </w:r>
          </w:p>
        </w:tc>
      </w:tr>
      <w:tr>
        <w:tc>
          <w:tcPr>
            <w:tcW w:type="dxa" w:w="38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Provisiones</w:t>
            </w:r>
          </w:p>
        </w:tc>
        <w:tc>
          <w:tcPr>
            <w:tcW w:type="dxa" w:w="55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Vacaciones, aguinaldo e indemnización: 8.33% cada una (un mes por año)</w:t>
            </w:r>
          </w:p>
        </w:tc>
      </w:tr>
    </w:tbl>
    <w:p>
      <w:pPr>
        <w:spacing w:after="120"/>
      </w:pPr>
    </w:p>
    <w:p>
      <w:pPr>
        <w:pStyle w:val="Heading2"/>
      </w:pPr>
      <w:r>
        <w:t xml:space="preserve">13.3 Prestaciones sociales y liquidaciones</w:t>
      </w:r>
    </w:p>
    <w:p>
      <w:pPr>
        <w:spacing w:after="120"/>
      </w:pPr>
      <w:r>
        <w:t xml:space="preserve">El módulo de Prestaciones acumula por empleado las vacaciones, el aguinaldo y la indemnización provisionados. Al retirarse un empleado, la liquidación calcula salario pendiente, vacaciones no gozadas, aguinaldo proporcional e indemnización según el motivo del retiro (Código del Trabajo).</w:t>
      </w:r>
    </w:p>
    <w:p>
      <w:pPr>
        <w:pStyle w:val="Heading2"/>
      </w:pPr>
      <w:r>
        <w:t xml:space="preserve">13.4 Reportes de nómina</w:t>
      </w:r>
    </w:p>
    <w:p>
      <w:pPr>
        <w:pStyle w:val="ListParagraph"/>
        <w:numPr>
          <w:ilvl w:val="0"/>
          <w:numId w:val="2"/>
        </w:numPr>
        <w:spacing w:after="60"/>
      </w:pPr>
      <w:r>
        <w:t xml:space="preserve">Reporte INSS: salarios y cotizaciones del mes para el SIE.</w:t>
      </w:r>
    </w:p>
    <w:p>
      <w:pPr>
        <w:pStyle w:val="ListParagraph"/>
        <w:numPr>
          <w:ilvl w:val="0"/>
          <w:numId w:val="2"/>
        </w:numPr>
        <w:spacing w:after="60"/>
      </w:pPr>
      <w:r>
        <w:t xml:space="preserve">Reporte INATEC: base del 2% mensual.</w:t>
      </w:r>
    </w:p>
    <w:p>
      <w:pPr>
        <w:pStyle w:val="ListParagraph"/>
        <w:numPr>
          <w:ilvl w:val="0"/>
          <w:numId w:val="2"/>
        </w:numPr>
        <w:spacing w:after="60"/>
      </w:pPr>
      <w:r>
        <w:t xml:space="preserve">IR laboral: retenciones por empleado, listas para la declaración (renglón de rentas del trabajo, código 11).</w:t>
      </w:r>
    </w:p>
    <w:p>
      <w:pPr>
        <w:pBdr>
          <w:left w:val="single" w:color="DC2626" w:sz="18" w:space="4"/>
        </w:pBdr>
        <w:shd w:fill="FDE8E8" w:val="clear"/>
        <w:spacing w:after="160" w:before="80"/>
      </w:pPr>
      <w:r>
        <w:rPr>
          <w:b/>
          <w:bCs/>
        </w:rPr>
        <w:t xml:space="preserve">Importante: </w:t>
      </w:r>
      <w:r>
        <w:t xml:space="preserve">Los contratados por honorarios o servicios profesionales no van aquí: regístrelos como compras con retención código 27 (10%). Vea la sección 6.2.</w:t>
      </w:r>
    </w:p>
    <w:p>
      <w:pPr>
        <w:pStyle w:val="Heading1"/>
      </w:pPr>
      <w:r>
        <w:t xml:space="preserve">14. Activos fijos</w:t>
      </w:r>
    </w:p>
    <w:p>
      <w:pPr>
        <w:pStyle w:val="ListParagraph"/>
        <w:numPr>
          <w:ilvl w:val="0"/>
          <w:numId w:val="2"/>
        </w:numPr>
        <w:spacing w:after="60"/>
      </w:pPr>
      <w:r>
        <w:t xml:space="preserve">Registre edificios, vehículos, mobiliario, equipos e intangibles con su costo, fecha de adquisición y categoría.</w:t>
      </w:r>
    </w:p>
    <w:p>
      <w:pPr>
        <w:pStyle w:val="ListParagraph"/>
        <w:numPr>
          <w:ilvl w:val="0"/>
          <w:numId w:val="2"/>
        </w:numPr>
        <w:spacing w:after="60"/>
      </w:pPr>
      <w:r>
        <w:t xml:space="preserve">La depreciación se calcula con las vidas útiles fiscales de Nicaragua (Reglamento LCT) por línea recta, y genera mensualmente su asiento (gasto contra depreciación acumulada).</w:t>
      </w:r>
    </w:p>
    <w:p>
      <w:pPr>
        <w:pStyle w:val="ListParagraph"/>
        <w:numPr>
          <w:ilvl w:val="0"/>
          <w:numId w:val="2"/>
        </w:numPr>
        <w:spacing w:after="60"/>
      </w:pPr>
      <w:r>
        <w:t xml:space="preserve">Consulte el valor en libros de cada activo y el detalle de su depreciación histórica.</w:t>
      </w:r>
    </w:p>
    <w:p>
      <w:pPr>
        <w:pStyle w:val="Heading1"/>
      </w:pPr>
      <w:r>
        <w:t xml:space="preserve">15. Tributación DGI</w:t>
      </w:r>
    </w:p>
    <w:p>
      <w:pPr>
        <w:pStyle w:val="Heading2"/>
      </w:pPr>
      <w:r>
        <w:t xml:space="preserve">15.1 Calendario tributario</w:t>
      </w:r>
    </w:p>
    <w:p>
      <w:pPr>
        <w:spacing w:after="120"/>
      </w:pPr>
      <w:r>
        <w:t xml:space="preserve">Muestra las fechas de vencimiento de las obligaciones del año (DMI mensual, anticipos, IR anual, IMI) para no incurrir en multas ni recargos.</w:t>
      </w:r>
    </w:p>
    <w:p>
      <w:pPr>
        <w:pStyle w:val="Heading2"/>
      </w:pPr>
      <w:r>
        <w:t xml:space="preserve">15.2 Anticipos IR / Pago Mínimo Definitivo</w:t>
      </w:r>
    </w:p>
    <w:p>
      <w:pPr>
        <w:spacing w:after="120"/>
      </w:pPr>
      <w:r>
        <w:t xml:space="preserve">Calcula el anticipo mensual del 1% sobre los ingresos brutos (art. 63 LCT) o el PMD según corresponda, registra la obligación con su asiento y controla su pago con la boleta de la VET.</w:t>
      </w:r>
    </w:p>
    <w:p>
      <w:pPr>
        <w:pStyle w:val="Heading2"/>
      </w:pPr>
      <w:r>
        <w:t xml:space="preserve">15.3 IR Anual (Formulario 106)</w:t>
      </w:r>
    </w:p>
    <w:p>
      <w:pPr>
        <w:spacing w:after="120"/>
      </w:pPr>
      <w:r>
        <w:t xml:space="preserve">Consolida el ejercicio: ingresos, costos y gastos deducibles (incluidos los gastos de nómina), aplica la tarifa del IR de actividades económicas, acredita anticipos y retenciones que le hicieron, y determina el saldo a pagar o a favor. Sirve de guía para llenar el F106 en la VET.</w:t>
      </w:r>
    </w:p>
    <w:p>
      <w:pPr>
        <w:pStyle w:val="Heading2"/>
      </w:pPr>
      <w:r>
        <w:t xml:space="preserve">15.4 IMI municipal</w:t>
      </w:r>
    </w:p>
    <w:p>
      <w:pPr>
        <w:spacing w:after="120"/>
      </w:pPr>
      <w:r>
        <w:t xml:space="preserve">Calcula el impuesto municipal sobre ingresos (1% mensual según el Plan de Arbitrios), genera el asiento de reconocimiento y controla el pago, incluida la matrícula anual (2%).</w:t>
      </w:r>
    </w:p>
    <w:p>
      <w:pPr>
        <w:pStyle w:val="Heading2"/>
      </w:pPr>
      <w:r>
        <w:t xml:space="preserve">15.5 ISC — Impuesto Selectivo al Consumo</w:t>
      </w:r>
    </w:p>
    <w:p>
      <w:pPr>
        <w:spacing w:after="120"/>
      </w:pPr>
      <w:r>
        <w:t xml:space="preserve">Para empresas que enajenan bienes gravados con ISC (bebidas alcohólicas 10%, cerveza 10%, cigarrillos 60%, gaseosas 7%, energizantes 15%, combustibles con cuota específica): registre la base imponible del mes y la tasa; el sistema calcula el ISC, genera el asiento (gasto 6.1.21 contra ISC por pagar 2.1.18) y controla la declaración y el pago.</w:t>
      </w:r>
    </w:p>
    <w:p>
      <w:pPr>
        <w:pStyle w:val="Heading2"/>
      </w:pPr>
      <w:r>
        <w:t xml:space="preserve">15.6 Retenciones definitivas</w:t>
      </w:r>
    </w:p>
    <w:p>
      <w:pPr>
        <w:spacing w:after="120"/>
      </w:pPr>
      <w:r>
        <w:t xml:space="preserve">Registro y control de retenciones definitivas practicadas (dietas, no residentes, rentas de capital, transacciones bursátiles, etc.) con sus alícuotas legales.</w:t>
      </w:r>
    </w:p>
    <w:p>
      <w:pPr>
        <w:pStyle w:val="Heading2"/>
      </w:pPr>
      <w:r>
        <w:t xml:space="preserve">15.7 Cumplimiento VET</w:t>
      </w:r>
    </w:p>
    <w:p>
      <w:pPr>
        <w:spacing w:after="120"/>
      </w:pPr>
      <w:r>
        <w:t xml:space="preserve">El panel de Cumplimiento VET ejecuta validaciones cruzadas antes de declarar: que la planilla de ingresos cuadre con el Libro de Ventas, que el IVA acreditable no exceda el 15% de las compras, que las retenciones no superen los límites, entre otras. Cada exportación queda auditada con fecha, usuario y huella del archivo.</w:t>
      </w:r>
    </w:p>
    <w:p>
      <w:pPr>
        <w:pStyle w:val="Heading1"/>
      </w:pPr>
      <w:r>
        <w:t xml:space="preserve">16. Reportes DGI y carga en la VET</w:t>
      </w:r>
    </w:p>
    <w:p>
      <w:pPr>
        <w:spacing w:after="120"/>
      </w:pPr>
      <w:r>
        <w:t xml:space="preserve">El módulo Reportes genera los archivos Excel que se cargan directamente en la Declaración Mensual de Impuestos (DMI) de la VET. Los archivos usan las plantillas oficiales de la DGI, con sus textos y estructura idénticos, por lo que pasan la validación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Archivo</w:t>
            </w:r>
          </w:p>
        </w:tc>
        <w:tc>
          <w:tcPr>
            <w:tcW w:type="dxa" w:w="6160"/>
            <w:tcBorders>
              <w:top w:val="single" w:color="B7C4CF" w:sz="1"/>
              <w:left w:val="single" w:color="B7C4CF" w:sz="1"/>
              <w:bottom w:val="single" w:color="B7C4CF" w:sz="1"/>
              <w:right w:val="single" w:color="B7C4CF" w:sz="1"/>
            </w:tcBorders>
            <w:shd w:fill="D5E8F0" w:val="clear"/>
            <w:tcMar>
              <w:top w:type="dxa" w:w="60"/>
              <w:left w:type="dxa" w:w="100"/>
              <w:bottom w:type="dxa" w:w="60"/>
              <w:right w:type="dxa" w:w="100"/>
            </w:tcMar>
          </w:tcPr>
          <w:p>
            <w:r>
              <w:rPr>
                <w:b/>
                <w:bCs/>
                <w:sz w:val="20"/>
                <w:szCs w:val="20"/>
              </w:rPr>
              <w:t xml:space="preserve">Contenido</w:t>
            </w:r>
          </w:p>
        </w:tc>
      </w:tr>
      <w:tr>
        <w:tc>
          <w:tcPr>
            <w:tcW w:type="dxa" w:w="32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Planilla de Ingresos</w:t>
            </w:r>
          </w:p>
        </w:tc>
        <w:tc>
          <w:tcPr>
            <w:tcW w:type="dxa" w:w="61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Ingresos gravados 15%, exentos y exonerados del mes; base del PMD/Anticipo sin IVA; rangos de facturas usadas por serie (desde la fila 26). Generado sobre la plantilla oficial DMI.</w:t>
            </w:r>
          </w:p>
        </w:tc>
      </w:tr>
      <w:tr>
        <w:tc>
          <w:tcPr>
            <w:tcW w:type="dxa" w:w="32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Crédito Fiscal IVA</w:t>
            </w:r>
          </w:p>
        </w:tc>
        <w:tc>
          <w:tcPr>
            <w:tcW w:type="dxa" w:w="61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Compras con IVA acreditable: RUC del proveedor, documento, fecha, monto sin IVA e IVA trasladado (renglón 105).</w:t>
            </w:r>
          </w:p>
        </w:tc>
      </w:tr>
      <w:tr>
        <w:tc>
          <w:tcPr>
            <w:tcW w:type="dxa" w:w="32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Retenciones en la Fuente</w:t>
            </w:r>
          </w:p>
        </w:tc>
        <w:tc>
          <w:tcPr>
            <w:tcW w:type="dxa" w:w="61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Todas las retenciones practicadas en el mes con su base, valor, alícuota y código del catálogo (22, 27, etc.).</w:t>
            </w:r>
          </w:p>
        </w:tc>
      </w:tr>
      <w:tr>
        <w:tc>
          <w:tcPr>
            <w:tcW w:type="dxa" w:w="320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Crédito Fiscal ISC</w:t>
            </w:r>
          </w:p>
        </w:tc>
        <w:tc>
          <w:tcPr>
            <w:tcW w:type="dxa" w:w="6160"/>
            <w:tcBorders>
              <w:top w:val="single" w:color="B7C4CF" w:sz="1"/>
              <w:left w:val="single" w:color="B7C4CF" w:sz="1"/>
              <w:bottom w:val="single" w:color="B7C4CF" w:sz="1"/>
              <w:right w:val="single" w:color="B7C4CF" w:sz="1"/>
            </w:tcBorders>
            <w:tcMar>
              <w:top w:type="dxa" w:w="60"/>
              <w:left w:type="dxa" w:w="100"/>
              <w:bottom w:type="dxa" w:w="60"/>
              <w:right w:type="dxa" w:w="100"/>
            </w:tcMar>
          </w:tcPr>
          <w:p>
            <w:r>
              <w:rPr>
                <w:b w:val="false"/>
                <w:bCs w:val="false"/>
                <w:sz w:val="20"/>
                <w:szCs w:val="20"/>
              </w:rPr>
              <w:t xml:space="preserve">Compras con ISC desglosado (combustibles, industria fiscal), sobre la plantilla oficial.</w:t>
            </w:r>
          </w:p>
        </w:tc>
      </w:tr>
    </w:tbl>
    <w:p>
      <w:pPr>
        <w:spacing w:after="120"/>
      </w:pPr>
    </w:p>
    <w:p>
      <w:pPr>
        <w:pStyle w:val="Heading2"/>
      </w:pPr>
      <w:r>
        <w:t xml:space="preserve">16.1 Cómo declarar cada mes</w:t>
      </w:r>
    </w:p>
    <w:p>
      <w:pPr>
        <w:pStyle w:val="ListParagraph"/>
        <w:numPr>
          <w:ilvl w:val="0"/>
          <w:numId w:val="3"/>
        </w:numPr>
        <w:spacing w:after="60"/>
      </w:pPr>
      <w:r>
        <w:t xml:space="preserve">En Reportes, seleccione el mes y año.</w:t>
      </w:r>
    </w:p>
    <w:p>
      <w:pPr>
        <w:pStyle w:val="ListParagraph"/>
        <w:numPr>
          <w:ilvl w:val="0"/>
          <w:numId w:val="3"/>
        </w:numPr>
        <w:spacing w:after="60"/>
      </w:pPr>
      <w:r>
        <w:t xml:space="preserve">Use Preview para revisar los datos en pantalla y Excel para descargar cada archivo.</w:t>
      </w:r>
    </w:p>
    <w:p>
      <w:pPr>
        <w:pStyle w:val="ListParagraph"/>
        <w:numPr>
          <w:ilvl w:val="0"/>
          <w:numId w:val="3"/>
        </w:numPr>
        <w:spacing w:after="60"/>
      </w:pPr>
      <w:r>
        <w:t xml:space="preserve">Ingrese a su VET (dgienlinea.dgi.gob.ni), abra la DMI del período y cargue los archivos en la sección de importación.</w:t>
      </w:r>
    </w:p>
    <w:p>
      <w:pPr>
        <w:pStyle w:val="ListParagraph"/>
        <w:numPr>
          <w:ilvl w:val="0"/>
          <w:numId w:val="3"/>
        </w:numPr>
        <w:spacing w:after="60"/>
      </w:pPr>
      <w:r>
        <w:t xml:space="preserve">Verifique los totales que la VET calcula contra los del sistema y presente su declaración.</w:t>
      </w:r>
    </w:p>
    <w:p>
      <w:pPr>
        <w:pBdr>
          <w:left w:val="single" w:color="D97706" w:sz="18" w:space="4"/>
        </w:pBdr>
        <w:shd w:fill="FFF6DE" w:val="clear"/>
        <w:spacing w:after="160" w:before="80"/>
      </w:pPr>
      <w:r>
        <w:rPr>
          <w:b/>
          <w:bCs/>
        </w:rPr>
        <w:t xml:space="preserve">Nota: </w:t>
      </w:r>
      <w:r>
        <w:t xml:space="preserve">Los archivos de carga no llevan filas de totales ni fórmulas (requisito de la DGI); las fechas van en formato dd/mm/aaaa. La primera vez, compare el archivo contra su plantilla oficial descargada de la VET.</w:t>
      </w:r>
    </w:p>
    <w:p>
      <w:pPr>
        <w:pStyle w:val="Heading2"/>
      </w:pPr>
      <w:r>
        <w:t xml:space="preserve">16.2 Libros de Ventas y Compras</w:t>
      </w:r>
    </w:p>
    <w:p>
      <w:pPr>
        <w:spacing w:after="120"/>
      </w:pPr>
      <w:r>
        <w:t xml:space="preserve">Además de los archivos de carga, puede exportar el Libro de Ventas (con columnas de valor gravable, IVA y exento por factura) y el Libro de Compras (con IVA acreditable y retención practicada por compra), que son los registros auxiliares mensuales que exige la DGI en fiscalizaciones.</w:t>
      </w:r>
    </w:p>
    <w:p>
      <w:pPr>
        <w:pStyle w:val="Heading1"/>
      </w:pPr>
      <w:r>
        <w:t xml:space="preserve">17. Contabilidad avanzada</w:t>
      </w:r>
    </w:p>
    <w:p>
      <w:pPr>
        <w:pStyle w:val="Heading2"/>
      </w:pPr>
      <w:r>
        <w:t xml:space="preserve">17.1 Cuentas por Cobrar (CxC)</w:t>
      </w:r>
    </w:p>
    <w:p>
      <w:pPr>
        <w:spacing w:after="120"/>
      </w:pPr>
      <w:r>
        <w:t xml:space="preserve">Controla las facturas al crédito: antigüedad de saldos, abonos parciales o cancelaciones con su recibo, y el asiento automático de cada abono (caja/banco contra clientes).</w:t>
      </w:r>
    </w:p>
    <w:p>
      <w:pPr>
        <w:pStyle w:val="Heading2"/>
      </w:pPr>
      <w:r>
        <w:t xml:space="preserve">17.2 Cuentas por Pagar (CxP)</w:t>
      </w:r>
    </w:p>
    <w:p>
      <w:pPr>
        <w:spacing w:after="120"/>
      </w:pPr>
      <w:r>
        <w:t xml:space="preserve">Lo mismo para compras al crédito: saldos por proveedor, programación de pagos y abonos con su asiento.</w:t>
      </w:r>
    </w:p>
    <w:p>
      <w:pPr>
        <w:pStyle w:val="Heading2"/>
      </w:pPr>
      <w:r>
        <w:t xml:space="preserve">17.3 Conciliación bancaria</w:t>
      </w:r>
    </w:p>
    <w:p>
      <w:pPr>
        <w:spacing w:after="120"/>
      </w:pPr>
      <w:r>
        <w:t xml:space="preserve">Compare el estado de cuenta del banco contra los registros del sistema: cargue los movimientos del extracto, concilie partida por partida y detecte diferencias (cheques flotantes, notas de débito bancarias, depósitos en tránsito).</w:t>
      </w:r>
    </w:p>
    <w:p>
      <w:pPr>
        <w:pStyle w:val="Heading2"/>
      </w:pPr>
      <w:r>
        <w:t xml:space="preserve">17.4 Cierre contable</w:t>
      </w:r>
    </w:p>
    <w:p>
      <w:pPr>
        <w:spacing w:after="120"/>
      </w:pPr>
      <w:r>
        <w:t xml:space="preserve">Al terminar el período, el cierre bloquea los meses concluidos para que nadie modifique asientos históricos, y genera el asiento de cierre de resultados (utilidad del ejercicio a patrimonio). Solo el administrador puede cerrar o reabrir períodos.</w:t>
      </w:r>
    </w:p>
    <w:p>
      <w:pPr>
        <w:pStyle w:val="Heading2"/>
      </w:pPr>
      <w:r>
        <w:t xml:space="preserve">17.5 Notas de crédito y débito</w:t>
      </w:r>
    </w:p>
    <w:p>
      <w:pPr>
        <w:spacing w:after="120"/>
      </w:pPr>
      <w:r>
        <w:t xml:space="preserve">Registro central de todas las NC/ND emitidas: por anulaciones de facturas, devoluciones del POS o ajustes manuales, con su estado (emitida, aplicada) y su documento de referencia.</w:t>
      </w:r>
    </w:p>
    <w:p>
      <w:pPr>
        <w:pStyle w:val="Heading1"/>
      </w:pPr>
      <w:r>
        <w:t xml:space="preserve">18. Usuarios y configuración</w:t>
      </w:r>
    </w:p>
    <w:p>
      <w:pPr>
        <w:pStyle w:val="Heading2"/>
      </w:pPr>
      <w:r>
        <w:t xml:space="preserve">18.1 Usuarios y roles</w:t>
      </w:r>
    </w:p>
    <w:p>
      <w:pPr>
        <w:pStyle w:val="ListParagraph"/>
        <w:numPr>
          <w:ilvl w:val="0"/>
          <w:numId w:val="3"/>
        </w:numPr>
        <w:spacing w:after="60"/>
      </w:pPr>
      <w:r>
        <w:t xml:space="preserve">En Usuarios y Roles, pulse Invitar usuario e ingrese su correo y rol.</w:t>
      </w:r>
    </w:p>
    <w:p>
      <w:pPr>
        <w:pStyle w:val="ListParagraph"/>
        <w:numPr>
          <w:ilvl w:val="0"/>
          <w:numId w:val="3"/>
        </w:numPr>
        <w:spacing w:after="60"/>
      </w:pPr>
      <w:r>
        <w:t xml:space="preserve">El usuario recibe acceso con ese rol para su empresa únicamente.</w:t>
      </w:r>
    </w:p>
    <w:p>
      <w:pPr>
        <w:pStyle w:val="ListParagraph"/>
        <w:numPr>
          <w:ilvl w:val="0"/>
          <w:numId w:val="3"/>
        </w:numPr>
        <w:spacing w:after="60"/>
      </w:pPr>
      <w:r>
        <w:t xml:space="preserve">Puede personalizar permisos por módulo (ver/editar) para casos especiales, y suspender temporalmente a un usuario sin eliminarlo.</w:t>
      </w:r>
    </w:p>
    <w:p>
      <w:pPr>
        <w:pStyle w:val="Heading2"/>
      </w:pPr>
      <w:r>
        <w:t xml:space="preserve">18.2 Configuración</w:t>
      </w:r>
    </w:p>
    <w:p>
      <w:pPr>
        <w:pStyle w:val="ListParagraph"/>
        <w:numPr>
          <w:ilvl w:val="0"/>
          <w:numId w:val="2"/>
        </w:numPr>
        <w:spacing w:after="60"/>
      </w:pPr>
      <w:r/>
      <w:r>
        <w:t xml:space="preserve">datos fiscales que aparecen en facturas y reportes (nombre, RUC, dirección, contactos).</w:t>
      </w:r>
    </w:p>
    <w:p>
      <w:pPr>
        <w:pStyle w:val="ListParagraph"/>
        <w:numPr>
          <w:ilvl w:val="0"/>
          <w:numId w:val="2"/>
        </w:numPr>
        <w:spacing w:after="60"/>
      </w:pPr>
      <w:r/>
      <w:r>
        <w:t xml:space="preserve">tasa INSS patronal: 21.5% si tiene menos de 50 empleados, 22.5% si tiene 50 o más (Decreto 06-2019).</w:t>
      </w:r>
    </w:p>
    <w:p>
      <w:pPr>
        <w:pStyle w:val="ListParagraph"/>
        <w:numPr>
          <w:ilvl w:val="0"/>
          <w:numId w:val="2"/>
        </w:numPr>
        <w:spacing w:after="60"/>
      </w:pPr>
      <w:r/>
      <w:r>
        <w:t xml:space="preserve">cambio de contraseña de su cuenta.</w:t>
      </w:r>
    </w:p>
    <w:p>
      <w:pPr>
        <w:pStyle w:val="ListParagraph"/>
        <w:numPr>
          <w:ilvl w:val="0"/>
          <w:numId w:val="2"/>
        </w:numPr>
        <w:spacing w:after="60"/>
      </w:pPr>
      <w:r/>
      <w:r>
        <w:t xml:space="preserve">prefijos y numeración consecutiva de facturas, compras y demás documentos (por ejemplo F-000001).</w:t>
      </w:r>
    </w:p>
    <w:p>
      <w:pPr>
        <w:pStyle w:val="Heading1"/>
      </w:pPr>
      <w:r>
        <w:t xml:space="preserve">19. Buenas prácticas y preguntas frecuentes</w:t>
      </w:r>
    </w:p>
    <w:p>
      <w:pPr>
        <w:pStyle w:val="Heading2"/>
      </w:pPr>
      <w:r>
        <w:t xml:space="preserve">19.1 Rutina recomendada</w:t>
      </w:r>
    </w:p>
    <w:p>
      <w:pPr>
        <w:pStyle w:val="ListParagraph"/>
        <w:numPr>
          <w:ilvl w:val="0"/>
          <w:numId w:val="2"/>
        </w:numPr>
        <w:spacing w:after="60"/>
      </w:pPr>
      <w:r/>
      <w:r>
        <w:t xml:space="preserve">facturar todo por el sistema, cerrar el turno del POS con arqueo, registrar compras al recibirlas.</w:t>
      </w:r>
    </w:p>
    <w:p>
      <w:pPr>
        <w:pStyle w:val="ListParagraph"/>
        <w:numPr>
          <w:ilvl w:val="0"/>
          <w:numId w:val="2"/>
        </w:numPr>
        <w:spacing w:after="60"/>
      </w:pPr>
      <w:r/>
      <w:r>
        <w:t xml:space="preserve">conciliar bancos, revisar CxC/CxP, correr la planilla, generar los 4 archivos DGI y declarar la DMI antes del vencimiento, pagar INSS/INATEC e IMI.</w:t>
      </w:r>
    </w:p>
    <w:p>
      <w:pPr>
        <w:pStyle w:val="ListParagraph"/>
        <w:numPr>
          <w:ilvl w:val="0"/>
          <w:numId w:val="2"/>
        </w:numPr>
        <w:spacing w:after="60"/>
      </w:pPr>
      <w:r/>
      <w:r>
        <w:t xml:space="preserve">cierre contable, estados financieros del ejercicio, IR Anual (F106) y matrícula municipal.</w:t>
      </w:r>
    </w:p>
    <w:p>
      <w:pPr>
        <w:pStyle w:val="Heading2"/>
      </w:pPr>
      <w:r>
        <w:t xml:space="preserve">19.2 Preguntas frecuentes</w:t>
      </w:r>
    </w:p>
    <w:p>
      <w:pPr>
        <w:spacing w:after="120"/>
      </w:pPr>
      <w:r/>
    </w:p>
    <w:p>
      <w:pPr>
        <w:spacing w:after="120"/>
      </w:pPr>
      <w:r>
        <w:t xml:space="preserve">Su rol no tiene permiso. Pídale al administrador que revise su rol o sus permisos personalizados.</w:t>
      </w:r>
    </w:p>
    <w:p>
      <w:pPr>
        <w:spacing w:after="120"/>
      </w:pPr>
      <w:r/>
    </w:p>
    <w:p>
      <w:pPr>
        <w:spacing w:after="120"/>
      </w:pPr>
      <w:r>
        <w:t xml:space="preserve">No se edita: se anula (total o parcial) con nota de crédito y se emite de nuevo. Así lo exige la trazabilidad fiscal.</w:t>
      </w:r>
    </w:p>
    <w:p>
      <w:pPr>
        <w:spacing w:after="120"/>
      </w:pPr>
      <w:r/>
    </w:p>
    <w:p>
      <w:pPr>
        <w:spacing w:after="120"/>
      </w:pPr>
      <w:r>
        <w:t xml:space="preserve">Como compra de servicios con retención código 27 (10%). No lo agregue a nómina (sección 6.2).</w:t>
      </w:r>
    </w:p>
    <w:p>
      <w:pPr>
        <w:spacing w:after="120"/>
      </w:pPr>
      <w:r/>
    </w:p>
    <w:p>
      <w:pPr>
        <w:spacing w:after="120"/>
      </w:pPr>
      <w:r>
        <w:t xml:space="preserve">Verifique que cargó el archivo del mes correcto y sin editarlo manualmente. Los archivos se generan sobre las plantillas oficiales; si la DGI publica una nueva versión de plantilla, repórtelo para actualizar el sistema.</w:t>
      </w:r>
    </w:p>
    <w:p>
      <w:pPr>
        <w:spacing w:after="120"/>
      </w:pPr>
      <w:r/>
    </w:p>
    <w:p>
      <w:pPr>
        <w:spacing w:after="120"/>
      </w:pPr>
      <w:r>
        <w:t xml:space="preserve">Sí. La información vive en una base de datos en la nube con respaldos automáticos y cifrado; cada empresa solo puede ver sus propios datos.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CF" w:sz="4" w:space="2"/>
      </w:pBdr>
    </w:pPr>
    <w:r>
      <w:rPr>
        <w:color w:val="888888"/>
        <w:sz w:val="18"/>
        <w:szCs w:val="18"/>
      </w:rPr>
      <w:t xml:space="preserve">SARA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5C"/>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44C77"/>
      <w:sz w:val="27"/>
      <w:szCs w:val="27"/>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2026-07-07T07:46:18.520Z</dcterms:created>
  <dcterms:modified xsi:type="dcterms:W3CDTF">2026-07-07T07:46:18.520Z</dcterms:modified>
</cp:coreProperties>
</file>

<file path=docProps/custom.xml><?xml version="1.0" encoding="utf-8"?>
<Properties xmlns="http://schemas.openxmlformats.org/officeDocument/2006/custom-properties" xmlns:vt="http://schemas.openxmlformats.org/officeDocument/2006/docPropsVTypes"/>
</file>