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color w:val="6C7E94"/>
          <w:sz w:val="16"/>
          <w:szCs w:val="16"/>
        </w:rPr>
        <w:t xml:space="preserve">MARY ERP · CONSTRUCCIÓN · REACT + SUPABASE</w:t>
      </w:r>
    </w:p>
    <w:p>
      <w:pPr>
        <w:pBdr>
          <w:bottom w:val="single" w:color="1B3A6B" w:sz="12" w:space="6"/>
        </w:pBdr>
        <w:spacing w:after="200"/>
      </w:pPr>
      <w:r>
        <w:rPr>
          <w:b/>
          <w:bCs/>
          <w:color w:val="1B3A6B"/>
          <w:sz w:val="44"/>
          <w:szCs w:val="44"/>
        </w:rPr>
        <w:t xml:space="preserve">Cómo se mueve un dato dentro de MARY</w:t>
      </w:r>
    </w:p>
    <w:p>
      <w:pPr>
        <w:spacing w:after="240" w:line="276"/>
      </w:pPr>
      <w:r>
        <w:rPr>
          <w:color w:val="0C1A2C"/>
          <w:sz w:val="21"/>
          <w:szCs w:val="21"/>
        </w:rPr>
        <w:t xml:space="preserve">La app no tiene router ni capa de servicios: un </w:t>
      </w:r>
      <w:r>
        <w:rPr>
          <w:rFonts w:ascii="Consolas" w:cs="Consolas" w:eastAsia="Consolas" w:hAnsi="Consolas"/>
          <w:color w:val="3B4C63"/>
          <w:sz w:val="19"/>
          <w:szCs w:val="19"/>
        </w:rPr>
        <w:t xml:space="preserve">AuthProvider</w:t>
      </w:r>
      <w:r>
        <w:rPr>
          <w:color w:val="0C1A2C"/>
          <w:sz w:val="21"/>
          <w:szCs w:val="21"/>
        </w:rPr>
        <w:t xml:space="preserve"> decide qué se monta, un </w:t>
      </w:r>
      <w:r>
        <w:rPr>
          <w:rFonts w:ascii="Consolas" w:cs="Consolas" w:eastAsia="Consolas" w:hAnsi="Consolas"/>
          <w:color w:val="3B4C63"/>
          <w:sz w:val="19"/>
          <w:szCs w:val="19"/>
        </w:rPr>
        <w:t xml:space="preserve">StoreProvider</w:t>
      </w:r>
      <w:r>
        <w:rPr>
          <w:color w:val="0C1A2C"/>
          <w:sz w:val="21"/>
          <w:szCs w:val="21"/>
        </w:rPr>
        <w:t xml:space="preserve"> carga el tenant entero en memoria, y quince módulos leen y escriben sobre ese mismo estado. </w:t>
      </w:r>
      <w:r>
        <w:rPr>
          <w:color w:val="0C1A2C"/>
          <w:sz w:val="21"/>
          <w:szCs w:val="21"/>
        </w:rPr>
        <w:t xml:space="preserve">Los cinco diagramas de este documento son el recorrido completo, del arranque al reporte.</w:t>
      </w:r>
    </w:p>
    <w:tbl>
      <w:tblPr>
        <w:tblW w:type="dxa" w:w="9360"/>
        <w:tblBorders>
          <w:top w:val="single" w:color="CED9E5" w:sz="4"/>
          <w:left w:val="single" w:color="CED9E5" w:sz="4"/>
          <w:bottom w:val="single" w:color="CED9E5" w:sz="4"/>
          <w:right w:val="single" w:color="CED9E5" w:sz="4"/>
          <w:insideH w:val="single" w:color="CED9E5" w:sz="4"/>
          <w:insideV w:val="single" w:color="CED9E5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ED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 xml:space="preserve">15</w:t>
            </w:r>
          </w:p>
          <w:p>
            <w:pPr>
              <w:spacing w:after="0" w:line="252"/>
              <w:jc w:val="center"/>
            </w:pPr>
            <w:r>
              <w:rPr>
                <w:color w:val="6C7E94"/>
                <w:sz w:val="15"/>
                <w:szCs w:val="15"/>
              </w:rPr>
              <w:t xml:space="preserve">módulos en el nav</w:t>
            </w:r>
          </w:p>
        </w:tc>
        <w:tc>
          <w:tcPr>
            <w:tcW w:type="dxa" w:w="1872"/>
            <w:shd w:fill="E7ED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 xml:space="preserve">~40</w:t>
            </w:r>
          </w:p>
          <w:p>
            <w:pPr>
              <w:spacing w:after="0" w:line="252"/>
              <w:jc w:val="center"/>
            </w:pPr>
            <w:r>
              <w:rPr>
                <w:color w:val="6C7E94"/>
                <w:sz w:val="15"/>
                <w:szCs w:val="15"/>
              </w:rPr>
              <w:t xml:space="preserve">tablas en un solo store</w:t>
            </w:r>
          </w:p>
        </w:tc>
        <w:tc>
          <w:tcPr>
            <w:tcW w:type="dxa" w:w="1872"/>
            <w:shd w:fill="E7ED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 xml:space="preserve">3</w:t>
            </w:r>
          </w:p>
          <w:p>
            <w:pPr>
              <w:spacing w:after="0" w:line="252"/>
              <w:jc w:val="center"/>
            </w:pPr>
            <w:r>
              <w:rPr>
                <w:color w:val="6C7E94"/>
                <w:sz w:val="15"/>
                <w:szCs w:val="15"/>
              </w:rPr>
              <w:t xml:space="preserve">filtros de acceso</w:t>
            </w:r>
          </w:p>
        </w:tc>
        <w:tc>
          <w:tcPr>
            <w:tcW w:type="dxa" w:w="1872"/>
            <w:shd w:fill="E7ED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 xml:space="preserve">7</w:t>
            </w:r>
          </w:p>
          <w:p>
            <w:pPr>
              <w:spacing w:after="0" w:line="252"/>
              <w:jc w:val="center"/>
            </w:pPr>
            <w:r>
              <w:rPr>
                <w:color w:val="6C7E94"/>
                <w:sz w:val="15"/>
                <w:szCs w:val="15"/>
              </w:rPr>
              <w:t xml:space="preserve">edge functions</w:t>
            </w:r>
          </w:p>
        </w:tc>
        <w:tc>
          <w:tcPr>
            <w:tcW w:type="dxa" w:w="1872"/>
            <w:shd w:fill="E7ED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 xml:space="preserve">29k</w:t>
            </w:r>
          </w:p>
          <w:p>
            <w:pPr>
              <w:spacing w:after="0" w:line="252"/>
              <w:jc w:val="center"/>
            </w:pPr>
            <w:r>
              <w:rPr>
                <w:color w:val="6C7E94"/>
                <w:sz w:val="15"/>
                <w:szCs w:val="15"/>
              </w:rPr>
              <w:t xml:space="preserve">líneas en src/</w:t>
            </w:r>
          </w:p>
        </w:tc>
      </w:tr>
    </w:tbl>
    <w:p>
      <w:pPr>
        <w:spacing w:after="120"/>
      </w:pPr>
    </w:p>
    <w:p>
      <w:pPr>
        <w:pStyle w:val="Heading1"/>
        <w:spacing w:after="160" w:before="400"/>
      </w:pPr>
      <w:r>
        <w:rPr>
          <w:rFonts w:ascii="Consolas" w:cs="Consolas" w:eastAsia="Consolas" w:hAnsi="Consolas"/>
          <w:color w:val="1663C7"/>
          <w:sz w:val="22"/>
          <w:szCs w:val="22"/>
        </w:rPr>
        <w:t xml:space="preserve">01  </w:t>
      </w:r>
      <w:r>
        <w:rPr>
          <w:b/>
          <w:bCs/>
          <w:color w:val="1B3A6B"/>
          <w:sz w:val="30"/>
          <w:szCs w:val="30"/>
        </w:rPr>
        <w:t xml:space="preserve">Arranque: quién decide qué ves</w:t>
      </w:r>
    </w:p>
    <w:p>
      <w:pPr>
        <w:spacing w:after="140" w:line="276"/>
      </w:pPr>
      <w:r>
        <w:rPr>
          <w:color w:val="0C1A2C"/>
          <w:sz w:val="21"/>
          <w:szCs w:val="21"/>
        </w:rPr>
        <w:t xml:space="preserve">No hay </w:t>
      </w:r>
      <w:r>
        <w:rPr>
          <w:rFonts w:ascii="Consolas" w:cs="Consolas" w:eastAsia="Consolas" w:hAnsi="Consolas"/>
          <w:color w:val="3B4C63"/>
          <w:sz w:val="19"/>
          <w:szCs w:val="19"/>
        </w:rPr>
        <w:t xml:space="preserve">react-router</w:t>
      </w:r>
      <w:r>
        <w:rPr>
          <w:color w:val="0C1A2C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3B4C63"/>
          <w:sz w:val="19"/>
          <w:szCs w:val="19"/>
        </w:rPr>
        <w:t xml:space="preserve">main.jsx</w:t>
      </w:r>
      <w:r>
        <w:rPr>
          <w:color w:val="0C1A2C"/>
          <w:sz w:val="21"/>
          <w:szCs w:val="21"/>
        </w:rPr>
        <w:t xml:space="preserve"> monta tres providers globales (tema, idioma, avisos) y a partir de ahí todo depende de lo que devuelva </w:t>
      </w:r>
      <w:r>
        <w:rPr>
          <w:rFonts w:ascii="Consolas" w:cs="Consolas" w:eastAsia="Consolas" w:hAnsi="Consolas"/>
          <w:color w:val="3B4C63"/>
          <w:sz w:val="19"/>
          <w:szCs w:val="19"/>
        </w:rPr>
        <w:t xml:space="preserve">loadPerfil()</w:t>
      </w:r>
      <w:r>
        <w:rPr>
          <w:color w:val="0C1A2C"/>
          <w:sz w:val="21"/>
          <w:szCs w:val="21"/>
        </w:rPr>
        <w:t xml:space="preserve">: una pantalla de bloqueo, las rutas públicas, o la app completa. La navegación interna es un </w:t>
      </w:r>
      <w:r>
        <w:rPr>
          <w:rFonts w:ascii="Consolas" w:cs="Consolas" w:eastAsia="Consolas" w:hAnsi="Consolas"/>
          <w:color w:val="3B4C63"/>
          <w:sz w:val="19"/>
          <w:szCs w:val="19"/>
        </w:rPr>
        <w:t xml:space="preserve">useState</w:t>
      </w:r>
      <w:r>
        <w:rPr>
          <w:color w:val="0C1A2C"/>
          <w:sz w:val="21"/>
          <w:szCs w:val="21"/>
        </w:rPr>
        <w:t xml:space="preserve"> dentro de </w:t>
      </w:r>
      <w:r>
        <w:rPr>
          <w:rFonts w:ascii="Consolas" w:cs="Consolas" w:eastAsia="Consolas" w:hAnsi="Consolas"/>
          <w:color w:val="3B4C63"/>
          <w:sz w:val="19"/>
          <w:szCs w:val="19"/>
        </w:rPr>
        <w:t xml:space="preserve">Layout</w:t>
      </w:r>
      <w:r>
        <w:rPr>
          <w:color w:val="0C1A2C"/>
          <w:sz w:val="21"/>
          <w:szCs w:val="21"/>
        </w:rPr>
        <w:t xml:space="preserve">; las rutas públicas leen </w:t>
      </w:r>
      <w:r>
        <w:rPr>
          <w:rFonts w:ascii="Consolas" w:cs="Consolas" w:eastAsia="Consolas" w:hAnsi="Consolas"/>
          <w:color w:val="3B4C63"/>
          <w:sz w:val="19"/>
          <w:szCs w:val="19"/>
        </w:rPr>
        <w:t xml:space="preserve">window.location.pathname</w:t>
      </w:r>
      <w:r>
        <w:rPr>
          <w:color w:val="0C1A2C"/>
          <w:sz w:val="21"/>
          <w:szCs w:val="21"/>
        </w:rPr>
        <w:t xml:space="preserve"> a mano.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Arranque de la app y ramas de loadPerfil" descr="Arranque de la app y ramas de loadPerfil" title="Arranque de la app y ramas de load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3B4C63"/>
          <w:sz w:val="18"/>
          <w:szCs w:val="18"/>
        </w:rPr>
        <w:t xml:space="preserve">El key={tenant_id} no es decorativo:</w:t>
      </w:r>
      <w:r>
        <w:rPr>
          <w:i/>
          <w:iCs/>
          <w:color w:val="6C7E94"/>
          <w:sz w:val="18"/>
          <w:szCs w:val="18"/>
        </w:rPr>
        <w:t xml:space="preserve"> cambiar de empresa remonta el StoreProvider entero y descarta todo el estado del tenant anterior.</w:t>
      </w:r>
    </w:p>
    <w:p>
      <w:pPr>
        <w:pStyle w:val="Heading1"/>
        <w:spacing w:after="160" w:before="400"/>
      </w:pPr>
      <w:r>
        <w:rPr>
          <w:rFonts w:ascii="Consolas" w:cs="Consolas" w:eastAsia="Consolas" w:hAnsi="Consolas"/>
          <w:color w:val="1663C7"/>
          <w:sz w:val="22"/>
          <w:szCs w:val="22"/>
        </w:rPr>
        <w:t xml:space="preserve">02  </w:t>
      </w:r>
      <w:r>
        <w:rPr>
          <w:b/>
          <w:bCs/>
          <w:color w:val="1B3A6B"/>
          <w:sz w:val="30"/>
          <w:szCs w:val="30"/>
        </w:rPr>
        <w:t xml:space="preserve">Tres filtros de acceso, no uno</w:t>
      </w:r>
    </w:p>
    <w:p>
      <w:pPr>
        <w:spacing w:after="140" w:line="276"/>
      </w:pPr>
      <w:r>
        <w:rPr>
          <w:color w:val="0C1A2C"/>
          <w:sz w:val="21"/>
          <w:szCs w:val="21"/>
        </w:rPr>
        <w:t xml:space="preserve">Un módulo puede estar oculto, visible pero bloqueado, o visible pero de solo lectura — y cada estado sale de un archivo distinto. </w:t>
      </w:r>
      <w:r>
        <w:rPr>
          <w:color w:val="0C1A2C"/>
          <w:sz w:val="21"/>
          <w:szCs w:val="21"/>
        </w:rPr>
        <w:t xml:space="preserve">El rol filtra el menú, el plan filtra el contenido, la suscripción filtra la escritura. Por encima de los tres, </w:t>
      </w:r>
      <w:r>
        <w:rPr>
          <w:rFonts w:ascii="Consolas" w:cs="Consolas" w:eastAsia="Consolas" w:hAnsi="Consolas"/>
          <w:color w:val="3B4C63"/>
          <w:sz w:val="19"/>
          <w:szCs w:val="19"/>
        </w:rPr>
        <w:t xml:space="preserve">usuario_permisos.permisos</w:t>
      </w:r>
      <w:r>
        <w:rPr>
          <w:color w:val="0C1A2C"/>
          <w:sz w:val="21"/>
          <w:szCs w:val="21"/>
        </w:rPr>
        <w:t xml:space="preserve"> pisa la matriz de rol cuando el admin definió permisos a medida.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1619250"/>
            <wp:effectExtent t="0" r="0" b="0" l="0"/>
            <wp:docPr id="1" name="Los tres filtros de acceso y el efecto de cada fallo" descr="Los tres filtros de acceso y el efecto de cada fallo" title="Los tres filtros de acceso y el efecto de cada fa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3B4C63"/>
          <w:sz w:val="18"/>
          <w:szCs w:val="18"/>
        </w:rPr>
        <w:t xml:space="preserve">El tercer filtro es dinámico:</w:t>
      </w:r>
      <w:r>
        <w:rPr>
          <w:i/>
          <w:iCs/>
          <w:color w:val="6C7E94"/>
          <w:sz w:val="18"/>
          <w:szCs w:val="18"/>
        </w:rPr>
        <w:t xml:space="preserve"> Layout consulta tenants y suscripciones, escucha cambios de plan por realtime y publica isReadOnly en SubscriptionContext, de donde usePermissions lo lee para anular los permisos de edición.</w:t>
      </w:r>
    </w:p>
    <w:p>
      <w:pPr>
        <w:pStyle w:val="Heading1"/>
        <w:spacing w:after="160" w:before="400"/>
      </w:pPr>
      <w:r>
        <w:rPr>
          <w:rFonts w:ascii="Consolas" w:cs="Consolas" w:eastAsia="Consolas" w:hAnsi="Consolas"/>
          <w:color w:val="1663C7"/>
          <w:sz w:val="22"/>
          <w:szCs w:val="22"/>
        </w:rPr>
        <w:t xml:space="preserve">03  </w:t>
      </w:r>
      <w:r>
        <w:rPr>
          <w:b/>
          <w:bCs/>
          <w:color w:val="1B3A6B"/>
          <w:sz w:val="30"/>
          <w:szCs w:val="30"/>
        </w:rPr>
        <w:t xml:space="preserve">El store es el único camino a la base</w:t>
      </w:r>
    </w:p>
    <w:p>
      <w:pPr>
        <w:spacing w:after="140" w:line="276"/>
      </w:pPr>
      <w:r>
        <w:rPr>
          <w:color w:val="0C1A2C"/>
          <w:sz w:val="21"/>
          <w:szCs w:val="21"/>
        </w:rPr>
        <w:t xml:space="preserve">Toda escritura de negocio pasa por </w:t>
      </w:r>
      <w:r>
        <w:rPr>
          <w:rFonts w:ascii="Consolas" w:cs="Consolas" w:eastAsia="Consolas" w:hAnsi="Consolas"/>
          <w:color w:val="3B4C63"/>
          <w:sz w:val="19"/>
          <w:szCs w:val="19"/>
        </w:rPr>
        <w:t xml:space="preserve">dbDispatch(action)</w:t>
      </w:r>
      <w:r>
        <w:rPr>
          <w:color w:val="0C1A2C"/>
          <w:sz w:val="21"/>
          <w:szCs w:val="21"/>
        </w:rPr>
        <w:t xml:space="preserve"> en </w:t>
      </w:r>
      <w:r>
        <w:rPr>
          <w:rFonts w:ascii="Consolas" w:cs="Consolas" w:eastAsia="Consolas" w:hAnsi="Consolas"/>
          <w:color w:val="3B4C63"/>
          <w:sz w:val="19"/>
          <w:szCs w:val="19"/>
        </w:rPr>
        <w:t xml:space="preserve">store.jsx</w:t>
      </w:r>
      <w:r>
        <w:rPr>
          <w:color w:val="0C1A2C"/>
          <w:sz w:val="21"/>
          <w:szCs w:val="21"/>
        </w:rPr>
        <w:t xml:space="preserve">: primero escribe en Supabase, después actualiza el reducer local, y de paso genera notificaciones y registro de auditoría. </w:t>
      </w:r>
      <w:r>
        <w:rPr>
          <w:color w:val="0C1A2C"/>
          <w:sz w:val="21"/>
          <w:szCs w:val="21"/>
        </w:rPr>
        <w:t xml:space="preserve">El eco vuelve por realtime, que no aplica el payload del evento sino que </w:t>
      </w:r>
      <w:r>
        <w:rPr>
          <w:b/>
          <w:bCs/>
          <w:color w:val="0C1A2C"/>
          <w:sz w:val="21"/>
          <w:szCs w:val="21"/>
        </w:rPr>
        <w:t xml:space="preserve">vuelve a traer la tabla completa del tenant</w:t>
      </w:r>
      <w:r>
        <w:rPr>
          <w:color w:val="0C1A2C"/>
          <w:sz w:val="21"/>
          <w:szCs w:val="21"/>
        </w:rPr>
        <w:t xml:space="preserve"> y la reemplaza en el estado.</w:t>
      </w:r>
    </w:p>
    <w:p>
      <w:pPr>
        <w:spacing w:after="140" w:line="276"/>
      </w:pPr>
      <w:r>
        <w:rPr>
          <w:color w:val="0C1A2C"/>
          <w:sz w:val="21"/>
          <w:szCs w:val="21"/>
        </w:rPr>
        <w:t xml:space="preserve">Cinco pantallas quedan fuera de este circuito y hablan con Supabase directo: Chat, Auditoría, Supervisión (adjuntos en Storage), Configuración y el panel Admin.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Camino de escritura del store y eco por realtime" descr="Camino de escritura del store y eco por realtime" title="Camino de escritura del store y eco por real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3B4C63"/>
          <w:sz w:val="18"/>
          <w:szCs w:val="18"/>
        </w:rPr>
        <w:t xml:space="preserve">Doble camino a propósito:</w:t>
      </w:r>
      <w:r>
        <w:rPr>
          <w:i/>
          <w:iCs/>
          <w:color w:val="6C7E94"/>
          <w:sz w:val="18"/>
          <w:szCs w:val="18"/>
        </w:rPr>
        <w:t xml:space="preserve"> el reducer pinta el cambio al instante y el realtime lo confirma. Si el refetch falla, el store deja el estado intacto y avisa, en vez de vaciar la tabla en pantalla.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Consolas" w:cs="Consolas" w:eastAsia="Consolas" w:hAnsi="Consolas"/>
          <w:color w:val="1663C7"/>
          <w:sz w:val="22"/>
          <w:szCs w:val="22"/>
        </w:rPr>
        <w:t xml:space="preserve">04  </w:t>
      </w:r>
      <w:r>
        <w:rPr>
          <w:b/>
          <w:bCs/>
          <w:color w:val="1B3A6B"/>
          <w:sz w:val="30"/>
          <w:szCs w:val="30"/>
        </w:rPr>
        <w:t xml:space="preserve">La cadena de obra</w:t>
      </w:r>
    </w:p>
    <w:p>
      <w:pPr>
        <w:spacing w:after="140" w:line="276"/>
      </w:pPr>
      <w:r>
        <w:rPr>
          <w:color w:val="0C1A2C"/>
          <w:sz w:val="21"/>
          <w:szCs w:val="21"/>
        </w:rPr>
        <w:t xml:space="preserve">Este es el corazón del ERP y el diagrama que conviene tener a mano antes de tocar cualquier módulo. </w:t>
      </w:r>
      <w:r>
        <w:rPr>
          <w:color w:val="0C1A2C"/>
          <w:sz w:val="21"/>
          <w:szCs w:val="21"/>
        </w:rPr>
        <w:t xml:space="preserve">El presupuesto es la línea base de todo: lo que se compra, lo que se consume, lo que se gasta y lo que se cobra se comparan siempre contra él. </w:t>
      </w:r>
      <w:r>
        <w:rPr>
          <w:color w:val="0C1A2C"/>
          <w:sz w:val="21"/>
          <w:szCs w:val="21"/>
        </w:rPr>
        <w:t xml:space="preserve">Y una vez congelado, </w:t>
      </w:r>
      <w:r>
        <w:rPr>
          <w:b/>
          <w:bCs/>
          <w:color w:val="0C1A2C"/>
          <w:sz w:val="21"/>
          <w:szCs w:val="21"/>
        </w:rPr>
        <w:t xml:space="preserve">lo único que lo modifica es una orden de cambio aprobada</w:t>
      </w:r>
      <w:r>
        <w:rPr>
          <w:color w:val="0C1A2C"/>
          <w:sz w:val="21"/>
          <w:szCs w:val="21"/>
        </w:rPr>
        <w:t xml:space="preserve"> — ese es el camino resaltado en azul.</w:t>
      </w:r>
    </w:p>
    <w:p>
      <w:pPr>
        <w:spacing w:after="80" w:before="200"/>
        <w:jc w:val="center"/>
      </w:pPr>
      <w:r>
        <w:drawing>
          <wp:inline distT="0" distB="0" distL="0" distR="0">
            <wp:extent cx="8191500" cy="4629150"/>
            <wp:effectExtent t="0" r="0" b="0" l="0"/>
            <wp:docPr id="1" name="Cadena de módulos de obra: presupuesto, compras, inventario, financiero, avalúos y reportes" descr="Cadena de módulos de obra: presupuesto, compras, inventario, financiero, avalúos y reportes" title="Cadena de módulos de obra: presupuesto, compras, inventario, financiero, avalúos y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3B4C63"/>
          <w:sz w:val="18"/>
          <w:szCs w:val="18"/>
        </w:rPr>
        <w:t xml:space="preserve">Tres automatismos que suelen sorprender:</w:t>
      </w:r>
      <w:r>
        <w:rPr>
          <w:i/>
          <w:iCs/>
          <w:color w:val="6C7E94"/>
          <w:sz w:val="18"/>
          <w:szCs w:val="18"/>
        </w:rPr>
        <w:t xml:space="preserve"> una OC de compra aprobada con ítems equipo_alquilado inserta sola el registro en equipos; una salida de inventario contra una actividad crea el material presupuestado si no existía; y al aprobar una liquidación de caja chica los gastos se convierten en costos directos, indirectos o equipos según su tipo.</w:t>
      </w:r>
    </w:p>
    <w:p>
      <w:pPr>
        <w:sectPr>
          <w:pgSz w:w="15840" w:h="12240" w:orient="landscape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Consolas" w:cs="Consolas" w:eastAsia="Consolas" w:hAnsi="Consolas"/>
          <w:color w:val="1663C7"/>
          <w:sz w:val="22"/>
          <w:szCs w:val="22"/>
        </w:rPr>
        <w:t xml:space="preserve">05  </w:t>
      </w:r>
      <w:r>
        <w:rPr>
          <w:b/>
          <w:bCs/>
          <w:color w:val="1B3A6B"/>
          <w:sz w:val="30"/>
          <w:szCs w:val="30"/>
        </w:rPr>
        <w:t xml:space="preserve">Plan, cobro y funciones de servidor</w:t>
      </w:r>
    </w:p>
    <w:p>
      <w:pPr>
        <w:spacing w:after="140" w:line="276"/>
      </w:pPr>
      <w:r>
        <w:rPr>
          <w:color w:val="0C1A2C"/>
          <w:sz w:val="21"/>
          <w:szCs w:val="21"/>
        </w:rPr>
        <w:t xml:space="preserve">Todo lo que necesita la </w:t>
      </w:r>
      <w:r>
        <w:rPr>
          <w:rFonts w:ascii="Consolas" w:cs="Consolas" w:eastAsia="Consolas" w:hAnsi="Consolas"/>
          <w:color w:val="3B4C63"/>
          <w:sz w:val="19"/>
          <w:szCs w:val="19"/>
        </w:rPr>
        <w:t xml:space="preserve">service_role</w:t>
      </w:r>
      <w:r>
        <w:rPr>
          <w:color w:val="0C1A2C"/>
          <w:sz w:val="21"/>
          <w:szCs w:val="21"/>
        </w:rPr>
        <w:t xml:space="preserve"> vive en edge functions de Deno: alta de trial, alta y baja de usuarios, y los pasos de Stripe. </w:t>
      </w:r>
      <w:r>
        <w:rPr>
          <w:color w:val="0C1A2C"/>
          <w:sz w:val="21"/>
          <w:szCs w:val="21"/>
        </w:rPr>
        <w:t xml:space="preserve">El webhook es el que cierra el círculo — escribe </w:t>
      </w:r>
      <w:r>
        <w:rPr>
          <w:rFonts w:ascii="Consolas" w:cs="Consolas" w:eastAsia="Consolas" w:hAnsi="Consolas"/>
          <w:color w:val="3B4C63"/>
          <w:sz w:val="19"/>
          <w:szCs w:val="19"/>
        </w:rPr>
        <w:t xml:space="preserve">tenants.plan</w:t>
      </w:r>
      <w:r>
        <w:rPr>
          <w:color w:val="0C1A2C"/>
          <w:sz w:val="21"/>
          <w:szCs w:val="21"/>
        </w:rPr>
        <w:t xml:space="preserve">, y desde ahí el navegador vuelve a decidir qué módulos se abren.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152650"/>
            <wp:effectExtent t="0" r="0" b="0" l="0"/>
            <wp:docPr id="1" name="Carriles de navegador, edge functions y datos externos" descr="Carriles de navegador, edge functions y datos externos" title="Carriles de navegador, edge functions y datos exter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3B4C63"/>
          <w:sz w:val="18"/>
          <w:szCs w:val="18"/>
        </w:rPr>
        <w:t xml:space="preserve">La landing también llama al servidor:</w:t>
      </w:r>
      <w:r>
        <w:rPr>
          <w:i/>
          <w:iCs/>
          <w:color w:val="6C7E94"/>
          <w:sz w:val="18"/>
          <w:szCs w:val="18"/>
        </w:rPr>
        <w:t xml:space="preserve"> solicitar-capacitacion registra solicitudes de demo sin sesión iniciada. Las claves de Stripe viven solo dentro de las funciones; el navegador nunca ve más que el identificador de precio.</w:t>
      </w:r>
    </w:p>
    <w:p>
      <w:pPr>
        <w:pStyle w:val="Heading1"/>
        <w:spacing w:after="160" w:before="400"/>
      </w:pPr>
      <w:r>
        <w:rPr>
          <w:rFonts w:ascii="Consolas" w:cs="Consolas" w:eastAsia="Consolas" w:hAnsi="Consolas"/>
          <w:color w:val="1663C7"/>
          <w:sz w:val="22"/>
          <w:szCs w:val="22"/>
        </w:rPr>
        <w:t xml:space="preserve">06  </w:t>
      </w:r>
      <w:r>
        <w:rPr>
          <w:b/>
          <w:bCs/>
          <w:color w:val="1B3A6B"/>
          <w:sz w:val="30"/>
          <w:szCs w:val="30"/>
        </w:rPr>
        <w:t xml:space="preserve">Qué escribe cada módulo</w:t>
      </w:r>
    </w:p>
    <w:p>
      <w:pPr>
        <w:spacing w:after="200" w:line="276"/>
      </w:pPr>
      <w:r>
        <w:rPr>
          <w:color w:val="0C1A2C"/>
          <w:sz w:val="21"/>
          <w:szCs w:val="21"/>
        </w:rPr>
        <w:t xml:space="preserve">Referencia rápida para saber dónde mirar antes de tocar una tabla.</w:t>
      </w:r>
    </w:p>
    <w:tbl>
      <w:tblPr>
        <w:tblW w:type="dxa" w:w="9360"/>
        <w:tblBorders>
          <w:top w:val="single" w:color="CED9E5" w:sz="4"/>
          <w:left w:val="none" w:color="FFFFFF" w:sz="0"/>
          <w:bottom w:val="single" w:color="CED9E5" w:sz="4"/>
          <w:right w:val="none" w:color="FFFFFF" w:sz="0"/>
          <w:insideH w:val="single" w:color="CED9E5" w:sz="2"/>
          <w:insideV w:val="none" w:color="FFFFFF" w:sz="0"/>
        </w:tblBorders>
      </w:tblPr>
      <w:tblGrid>
        <w:gridCol w:w="2300"/>
        <w:gridCol w:w="2400"/>
        <w:gridCol w:w="4660"/>
      </w:tblGrid>
      <w:tr>
        <w:trPr>
          <w:tblHeader/>
        </w:trPr>
        <w:tc>
          <w:tcPr>
            <w:tcW w:type="dxa" w:w="2300"/>
            <w:shd w:fill="E7ED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6C7E94"/>
                <w:sz w:val="16"/>
                <w:szCs w:val="16"/>
              </w:rPr>
              <w:t xml:space="preserve">MÓDULO</w:t>
            </w:r>
          </w:p>
        </w:tc>
        <w:tc>
          <w:tcPr>
            <w:tcW w:type="dxa" w:w="2400"/>
            <w:shd w:fill="E7ED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6C7E94"/>
                <w:sz w:val="16"/>
                <w:szCs w:val="16"/>
              </w:rPr>
              <w:t xml:space="preserve">ARCHIVO</w:t>
            </w:r>
          </w:p>
        </w:tc>
        <w:tc>
          <w:tcPr>
            <w:tcW w:type="dxa" w:w="4660"/>
            <w:shd w:fill="E7ED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6C7E94"/>
                <w:sz w:val="16"/>
                <w:szCs w:val="16"/>
              </w:rPr>
              <w:t xml:space="preserve">TABLAS QUE ESCRIBE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C1A2C"/>
                <w:sz w:val="19"/>
                <w:szCs w:val="19"/>
              </w:rPr>
              <w:t xml:space="preserve">Proyectos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6C7E94"/>
                <w:sz w:val="17"/>
                <w:szCs w:val="17"/>
              </w:rPr>
              <w:t xml:space="preserve">pages/Proyectos.jsx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B4C63"/>
                <w:sz w:val="17"/>
                <w:szCs w:val="17"/>
              </w:rPr>
              <w:t xml:space="preserve">proyectos · fases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C1A2C"/>
                <w:sz w:val="19"/>
                <w:szCs w:val="19"/>
              </w:rPr>
              <w:t xml:space="preserve">Presupuesto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6C7E94"/>
                <w:sz w:val="17"/>
                <w:szCs w:val="17"/>
              </w:rPr>
              <w:t xml:space="preserve">pages/Presupuesto.jsx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B4C63"/>
                <w:sz w:val="17"/>
                <w:szCs w:val="17"/>
              </w:rPr>
              <w:t xml:space="preserve">presupuesto · presupuesto_indirectos · indirectos_historial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C1A2C"/>
                <w:sz w:val="19"/>
                <w:szCs w:val="19"/>
              </w:rPr>
              <w:t xml:space="preserve">Mat. presupuestados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6C7E94"/>
                <w:sz w:val="17"/>
                <w:szCs w:val="17"/>
              </w:rPr>
              <w:t xml:space="preserve">pages/MatPresupuestados.jsx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B4C63"/>
                <w:sz w:val="17"/>
                <w:szCs w:val="17"/>
              </w:rPr>
              <w:t xml:space="preserve">materiales_presupuestados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C1A2C"/>
                <w:sz w:val="19"/>
                <w:szCs w:val="19"/>
              </w:rPr>
              <w:t xml:space="preserve">Compras / OC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6C7E94"/>
                <w:sz w:val="17"/>
                <w:szCs w:val="17"/>
              </w:rPr>
              <w:t xml:space="preserve">pages/Compras.jsx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B4C63"/>
                <w:sz w:val="17"/>
                <w:szCs w:val="17"/>
              </w:rPr>
              <w:t xml:space="preserve">solicitudes · solicitud_items · ordenes_compra · ordenes_compra_items → equipos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C1A2C"/>
                <w:sz w:val="19"/>
                <w:szCs w:val="19"/>
              </w:rPr>
              <w:t xml:space="preserve">Inventario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6C7E94"/>
                <w:sz w:val="17"/>
                <w:szCs w:val="17"/>
              </w:rPr>
              <w:t xml:space="preserve">pages/Inventario.jsx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B4C63"/>
                <w:sz w:val="17"/>
                <w:szCs w:val="17"/>
              </w:rPr>
              <w:t xml:space="preserve">materiales · entradas · salidas · solicitudes_eliminacion → materiales_presupuestados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C1A2C"/>
                <w:sz w:val="19"/>
                <w:szCs w:val="19"/>
              </w:rPr>
              <w:t xml:space="preserve">Órdenes de cambio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6C7E94"/>
                <w:sz w:val="17"/>
                <w:szCs w:val="17"/>
              </w:rPr>
              <w:t xml:space="preserve">pages/OrdenesCambio.jsx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B4C63"/>
                <w:sz w:val="17"/>
                <w:szCs w:val="17"/>
              </w:rPr>
              <w:t xml:space="preserve">ordenes_cambio + items + indirectos → presupuesto · presupuesto_indirectos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C1A2C"/>
                <w:sz w:val="19"/>
                <w:szCs w:val="19"/>
              </w:rPr>
              <w:t xml:space="preserve">Financiero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6C7E94"/>
                <w:sz w:val="17"/>
                <w:szCs w:val="17"/>
              </w:rPr>
              <w:t xml:space="preserve">pages/Financiero.jsx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B4C63"/>
                <w:sz w:val="17"/>
                <w:szCs w:val="17"/>
              </w:rPr>
              <w:t xml:space="preserve">costos_directos · nominas · costos_indirectos · equipos · equipos_ajustes · subcontratos_* · cajas_chicas · gastos_caja_chica · liquidaciones · reembolsos · ordenes_pago_retencion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C1A2C"/>
                <w:sz w:val="19"/>
                <w:szCs w:val="19"/>
              </w:rPr>
              <w:t xml:space="preserve">Avalúos de cliente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6C7E94"/>
                <w:sz w:val="17"/>
                <w:szCs w:val="17"/>
              </w:rPr>
              <w:t xml:space="preserve">pages/AvaluosCliente.jsx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B4C63"/>
                <w:sz w:val="17"/>
                <w:szCs w:val="17"/>
              </w:rPr>
              <w:t xml:space="preserve">avaluos_cliente · avaluos_cliente_items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C1A2C"/>
                <w:sz w:val="19"/>
                <w:szCs w:val="19"/>
              </w:rPr>
              <w:t xml:space="preserve">Supervisión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6C7E94"/>
                <w:sz w:val="17"/>
                <w:szCs w:val="17"/>
              </w:rPr>
              <w:t xml:space="preserve">pages/Supervision.jsx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B4C63"/>
                <w:sz w:val="17"/>
                <w:szCs w:val="17"/>
              </w:rPr>
              <w:t xml:space="preserve">bitacora_log · bitacora_adjuntos · Storage bitacora-adjuntos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C1A2C"/>
                <w:sz w:val="19"/>
                <w:szCs w:val="19"/>
              </w:rPr>
              <w:t xml:space="preserve">Chat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6C7E94"/>
                <w:sz w:val="17"/>
                <w:szCs w:val="17"/>
              </w:rPr>
              <w:t xml:space="preserve">pages/Chat.jsx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B4C63"/>
                <w:sz w:val="17"/>
                <w:szCs w:val="17"/>
              </w:rPr>
              <w:t xml:space="preserve">chat_canales · chat_participantes · chat_mensajes · chat_presencia (fuera del store)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C1A2C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6C7E94"/>
                <w:sz w:val="17"/>
                <w:szCs w:val="17"/>
              </w:rPr>
              <w:t xml:space="preserve">pages/Configuracion.jsx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B4C63"/>
                <w:sz w:val="17"/>
                <w:szCs w:val="17"/>
              </w:rPr>
              <w:t xml:space="preserve">usuarios · usuario_permisos · tenants · suscripciones · solicitudes_eliminacion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C1A2C"/>
                <w:sz w:val="19"/>
                <w:szCs w:val="19"/>
              </w:rPr>
              <w:t xml:space="preserve">Auditoría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6C7E94"/>
                <w:sz w:val="17"/>
                <w:szCs w:val="17"/>
              </w:rPr>
              <w:t xml:space="preserve">pages/Auditoria.jsx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B4C63"/>
                <w:sz w:val="17"/>
                <w:szCs w:val="17"/>
              </w:rPr>
              <w:t xml:space="preserve">auditoria_log (solo lectura)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C1A2C"/>
                <w:sz w:val="19"/>
                <w:szCs w:val="19"/>
              </w:rPr>
              <w:t xml:space="preserve">Dashboard · Curva S · Reportes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6C7E94"/>
                <w:sz w:val="17"/>
                <w:szCs w:val="17"/>
              </w:rPr>
              <w:t xml:space="preserve">pages/…</w:t>
            </w:r>
          </w:p>
        </w:tc>
        <w:tc>
          <w:tcPr>
            <w:tcW w:type="dxa" w:w="4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B4C63"/>
                <w:sz w:val="17"/>
                <w:szCs w:val="17"/>
              </w:rPr>
              <w:t xml:space="preserve">ninguna — todo se deriva del store</w:t>
            </w:r>
          </w:p>
        </w:tc>
      </w:tr>
    </w:tbl>
    <w:p>
      <w:pPr>
        <w:pStyle w:val="Heading1"/>
        <w:spacing w:after="160" w:before="400"/>
      </w:pPr>
      <w:r>
        <w:rPr>
          <w:rFonts w:ascii="Consolas" w:cs="Consolas" w:eastAsia="Consolas" w:hAnsi="Consolas"/>
          <w:color w:val="1663C7"/>
          <w:sz w:val="22"/>
          <w:szCs w:val="22"/>
        </w:rPr>
        <w:t xml:space="preserve">07  </w:t>
      </w:r>
      <w:r>
        <w:rPr>
          <w:b/>
          <w:bCs/>
          <w:color w:val="1B3A6B"/>
          <w:sz w:val="30"/>
          <w:szCs w:val="30"/>
        </w:rPr>
        <w:t xml:space="preserve">Dónde aprieta el diseño</w:t>
      </w:r>
    </w:p>
    <w:p>
      <w:pPr>
        <w:spacing w:after="140" w:line="276"/>
      </w:pPr>
      <w:r>
        <w:rPr>
          <w:color w:val="0C1A2C"/>
          <w:sz w:val="21"/>
          <w:szCs w:val="21"/>
        </w:rPr>
        <w:t xml:space="preserve">Cuatro consecuencias directas de la arquitectura anterior. No son fallos: son los puntos donde el modelo actual va a doler primero cuando crezcan los datos o los usuarios simultáneos.</w:t>
      </w:r>
    </w:p>
    <w:p>
      <w:pPr>
        <w:pStyle w:val="Heading2"/>
        <w:spacing w:after="80" w:before="240"/>
      </w:pPr>
      <w:r>
        <w:rPr>
          <w:b/>
          <w:bCs/>
          <w:color w:val="0C1A2C"/>
          <w:sz w:val="22"/>
          <w:szCs w:val="22"/>
        </w:rPr>
        <w:t xml:space="preserve">El tenant entero, en memoria</w:t>
      </w:r>
    </w:p>
    <w:p>
      <w:pPr>
        <w:spacing w:after="60" w:line="276"/>
      </w:pPr>
      <w:r>
        <w:rPr>
          <w:color w:val="0C1A2C"/>
          <w:sz w:val="21"/>
          <w:szCs w:val="21"/>
        </w:rPr>
        <w:t xml:space="preserve">Al entrar se traen todas las filas de 35 tablas sin paginar ni filtrar por proyecto. En obras grandes, el primer render carga años de entradas, salidas y costos que casi nunca se miran juntos.</w:t>
      </w:r>
    </w:p>
    <w:p>
      <w:pPr>
        <w:spacing w:after="160"/>
      </w:pPr>
      <w:r>
        <w:rPr>
          <w:rFonts w:ascii="Consolas" w:cs="Consolas" w:eastAsia="Consolas" w:hAnsi="Consolas"/>
          <w:color w:val="8F5200"/>
          <w:sz w:val="17"/>
          <w:szCs w:val="17"/>
        </w:rPr>
        <w:t xml:space="preserve">store.jsx · loadAll()</w:t>
      </w:r>
    </w:p>
    <w:p>
      <w:pPr>
        <w:pStyle w:val="Heading2"/>
        <w:spacing w:after="80" w:before="240"/>
      </w:pPr>
      <w:r>
        <w:rPr>
          <w:b/>
          <w:bCs/>
          <w:color w:val="0C1A2C"/>
          <w:sz w:val="22"/>
          <w:szCs w:val="22"/>
        </w:rPr>
        <w:t xml:space="preserve">Realtime recarga tablas completas</w:t>
      </w:r>
    </w:p>
    <w:p>
      <w:pPr>
        <w:spacing w:after="60" w:line="276"/>
      </w:pPr>
      <w:r>
        <w:rPr>
          <w:color w:val="0C1A2C"/>
          <w:sz w:val="21"/>
          <w:szCs w:val="21"/>
        </w:rPr>
        <w:t xml:space="preserve">Cada evento —de cualquier usuario del tenant— dispara un select completo de esa tabla. Con varias personas editando a la vez se encadenan refetches de tablas enteras.</w:t>
      </w:r>
    </w:p>
    <w:p>
      <w:pPr>
        <w:spacing w:after="160"/>
      </w:pPr>
      <w:r>
        <w:rPr>
          <w:rFonts w:ascii="Consolas" w:cs="Consolas" w:eastAsia="Consolas" w:hAnsi="Consolas"/>
          <w:color w:val="8F5200"/>
          <w:sz w:val="17"/>
          <w:szCs w:val="17"/>
        </w:rPr>
        <w:t xml:space="preserve">store.jsx · REALTIME_TABLES</w:t>
      </w:r>
    </w:p>
    <w:p>
      <w:pPr>
        <w:pStyle w:val="Heading2"/>
        <w:spacing w:after="80" w:before="240"/>
      </w:pPr>
      <w:r>
        <w:rPr>
          <w:b/>
          <w:bCs/>
          <w:color w:val="0C1A2C"/>
          <w:sz w:val="22"/>
          <w:szCs w:val="22"/>
        </w:rPr>
        <w:t xml:space="preserve">Escrituras múltiples sin transacción</w:t>
      </w:r>
    </w:p>
    <w:p>
      <w:pPr>
        <w:spacing w:after="60" w:line="276"/>
      </w:pPr>
      <w:r>
        <w:rPr>
          <w:color w:val="0C1A2C"/>
          <w:sz w:val="21"/>
          <w:szCs w:val="21"/>
        </w:rPr>
        <w:t xml:space="preserve">Aprobar una orden de cambio o una liquidación ejecuta varios insert y update encadenados desde el navegador. Si uno falla a mitad no hay rollback: queda estado parcial en la base.</w:t>
      </w:r>
    </w:p>
    <w:p>
      <w:pPr>
        <w:spacing w:after="160"/>
      </w:pPr>
      <w:r>
        <w:rPr>
          <w:rFonts w:ascii="Consolas" w:cs="Consolas" w:eastAsia="Consolas" w:hAnsi="Consolas"/>
          <w:color w:val="8F5200"/>
          <w:sz w:val="17"/>
          <w:szCs w:val="17"/>
        </w:rPr>
        <w:t xml:space="preserve">store.jsx · dbDispatch()</w:t>
      </w:r>
    </w:p>
    <w:p>
      <w:pPr>
        <w:pStyle w:val="Heading2"/>
        <w:spacing w:after="80" w:before="240"/>
      </w:pPr>
      <w:r>
        <w:rPr>
          <w:b/>
          <w:bCs/>
          <w:color w:val="0C1A2C"/>
          <w:sz w:val="22"/>
          <w:szCs w:val="22"/>
        </w:rPr>
        <w:t xml:space="preserve">Financiero importa de Reportes</w:t>
      </w:r>
    </w:p>
    <w:p>
      <w:pPr>
        <w:spacing w:after="60" w:line="276"/>
      </w:pPr>
      <w:r>
        <w:rPr>
          <w:color w:val="0C1A2C"/>
          <w:sz w:val="21"/>
          <w:szCs w:val="21"/>
        </w:rPr>
        <w:t xml:space="preserve">Los generadores de documentos viven dentro de Reportes.jsx (2.758 líneas) y Financiero.jsx los importa: una página de módulo depende de otra página de módulo.</w:t>
      </w:r>
    </w:p>
    <w:p>
      <w:pPr>
        <w:spacing w:after="160"/>
      </w:pPr>
      <w:r>
        <w:rPr>
          <w:rFonts w:ascii="Consolas" w:cs="Consolas" w:eastAsia="Consolas" w:hAnsi="Consolas"/>
          <w:color w:val="8F5200"/>
          <w:sz w:val="17"/>
          <w:szCs w:val="17"/>
        </w:rPr>
        <w:t xml:space="preserve">pages/Financiero.jsx:10</w:t>
      </w:r>
    </w:p>
    <w:p>
      <w:pPr>
        <w:pBdr>
          <w:top w:val="single" w:color="CED9E5" w:sz="6" w:space="8"/>
        </w:pBdr>
        <w:spacing w:before="400"/>
      </w:pPr>
      <w:r>
        <w:rPr>
          <w:i/>
          <w:iCs/>
          <w:color w:val="6C7E94"/>
          <w:sz w:val="18"/>
          <w:szCs w:val="18"/>
        </w:rPr>
        <w:t xml:space="preserve">Mapa levantado leyendo src/ y supabase/functions/ en la rama main, commit de68c3e. Si se mueve un módulo de lugar, este documento es lo primero que queda viejo.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0C1A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Segoe UI" w:cs="Segoe UI" w:eastAsia="Segoe UI" w:hAnsi="Segoe UI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Segoe UI" w:cs="Segoe UI" w:eastAsia="Segoe UI" w:hAnsi="Segoe UI"/>
      <w:b/>
      <w:bCs/>
      <w:color w:val="0C1A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ff01490fb16843fed09b2fed9b4c7bcb3f0e4a.png"/><Relationship Id="rId8" Type="http://schemas.openxmlformats.org/officeDocument/2006/relationships/image" Target="media/aa4a84587dac0eae8cf3869f123111796a0762a4.png"/><Relationship Id="rId9" Type="http://schemas.openxmlformats.org/officeDocument/2006/relationships/image" Target="media/f180f101bdce05c96f86df8a9f45eb4b8ddfe282.png"/><Relationship Id="rId10" Type="http://schemas.openxmlformats.org/officeDocument/2006/relationships/image" Target="media/afd801ba80bb57451a6c9fa00bac0141d502d649.png"/><Relationship Id="rId11" Type="http://schemas.openxmlformats.org/officeDocument/2006/relationships/image" Target="media/7ff1565aa1ac81a225a117353f8d924df5b5486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 MARY</dc:title>
  <dc:creator>MARY ERP</dc:creator>
  <dc:description>Mapa de módulos y flujo de datos</dc:description>
  <cp:lastModifiedBy>Un-named</cp:lastModifiedBy>
  <cp:revision>1</cp:revision>
  <dcterms:created xsi:type="dcterms:W3CDTF">2026-09-20T02:24:02.851Z</dcterms:created>
  <dcterms:modified xsi:type="dcterms:W3CDTF">2026-09-20T02:24:02.852Z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