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Pr="007C4B97" w:rsidRDefault="00B144C9">
      <w:pPr>
        <w:rPr>
          <w:rFonts w:ascii="Times New Roman" w:hAnsi="Times New Roman" w:cs="Times New Roman"/>
        </w:rPr>
      </w:pPr>
      <w:bookmarkStart w:id="0" w:name="i.-key-policy-question"/>
    </w:p>
    <w:p w14:paraId="154D1428" w14:textId="77777777" w:rsidR="00B144C9" w:rsidRPr="007C4B97" w:rsidRDefault="00B144C9">
      <w:pPr>
        <w:rPr>
          <w:rFonts w:ascii="Times New Roman" w:hAnsi="Times New Roman" w:cs="Times New Roman"/>
          <w:sz w:val="22"/>
        </w:rPr>
      </w:pPr>
    </w:p>
    <w:p w14:paraId="08B436BA" w14:textId="6E887281" w:rsidR="00B144C9" w:rsidRPr="007C4B97" w:rsidRDefault="00B144C9" w:rsidP="00CF5A58">
      <w:pPr>
        <w:spacing w:line="360" w:lineRule="auto"/>
        <w:jc w:val="center"/>
        <w:rPr>
          <w:rFonts w:ascii="Times New Roman" w:hAnsi="Times New Roman" w:cs="Times New Roman"/>
          <w:sz w:val="28"/>
        </w:rPr>
      </w:pPr>
      <w:r w:rsidRPr="007C4B97">
        <w:rPr>
          <w:rFonts w:ascii="Times New Roman" w:hAnsi="Times New Roman" w:cs="Times New Roman"/>
          <w:sz w:val="28"/>
        </w:rPr>
        <w:t>TOWARDS UNCONVENTION ANALYTICS FOR ENERGY SECURITY</w:t>
      </w:r>
    </w:p>
    <w:p w14:paraId="039CE9F5" w14:textId="1B42D8EB" w:rsidR="00B144C9" w:rsidRPr="007C4B97" w:rsidRDefault="00B144C9" w:rsidP="00CF5A58">
      <w:pPr>
        <w:spacing w:line="360" w:lineRule="auto"/>
        <w:jc w:val="center"/>
        <w:rPr>
          <w:rFonts w:ascii="Times New Roman" w:hAnsi="Times New Roman" w:cs="Times New Roman"/>
        </w:rPr>
      </w:pPr>
      <w:r w:rsidRPr="007C4B97">
        <w:rPr>
          <w:rFonts w:ascii="Times New Roman" w:hAnsi="Times New Roman" w:cs="Times New Roman"/>
        </w:rPr>
        <w:t>Applying</w:t>
      </w:r>
      <w:r w:rsidR="00CF5A58" w:rsidRPr="007C4B97">
        <w:rPr>
          <w:rFonts w:ascii="Times New Roman" w:hAnsi="Times New Roman" w:cs="Times New Roman"/>
        </w:rPr>
        <w:t xml:space="preserve"> a</w:t>
      </w:r>
      <w:r w:rsidRPr="007C4B97">
        <w:rPr>
          <w:rFonts w:ascii="Times New Roman" w:hAnsi="Times New Roman" w:cs="Times New Roman"/>
        </w:rPr>
        <w:t xml:space="preserve"> </w:t>
      </w:r>
      <w:r w:rsidR="00CF5A58" w:rsidRPr="007C4B97">
        <w:rPr>
          <w:rFonts w:ascii="Times New Roman" w:hAnsi="Times New Roman" w:cs="Times New Roman"/>
        </w:rPr>
        <w:t>data-driven computer simulation</w:t>
      </w:r>
      <w:r w:rsidRPr="007C4B97">
        <w:rPr>
          <w:rFonts w:ascii="Times New Roman" w:hAnsi="Times New Roman" w:cs="Times New Roman"/>
        </w:rPr>
        <w:t xml:space="preserve"> to forecasting energy security risks </w:t>
      </w:r>
    </w:p>
    <w:p w14:paraId="55F87F83" w14:textId="099C2A78" w:rsidR="00B144C9" w:rsidRPr="007C4B97" w:rsidRDefault="00B144C9" w:rsidP="00B144C9">
      <w:pPr>
        <w:jc w:val="center"/>
        <w:rPr>
          <w:rFonts w:ascii="Times New Roman" w:hAnsi="Times New Roman" w:cs="Times New Roman"/>
        </w:rPr>
      </w:pPr>
      <w:r w:rsidRPr="007C4B97">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Pr="007C4B97" w:rsidRDefault="00B144C9" w:rsidP="00B144C9">
      <w:pPr>
        <w:rPr>
          <w:rFonts w:ascii="Times New Roman" w:hAnsi="Times New Roman" w:cs="Times New Roman"/>
        </w:rPr>
      </w:pPr>
    </w:p>
    <w:p w14:paraId="277C47BE" w14:textId="315ABF5D" w:rsidR="00B144C9" w:rsidRPr="007C4B97" w:rsidRDefault="00B144C9" w:rsidP="00B144C9">
      <w:pPr>
        <w:jc w:val="center"/>
        <w:rPr>
          <w:rFonts w:ascii="Times New Roman" w:hAnsi="Times New Roman" w:cs="Times New Roman"/>
          <w:sz w:val="32"/>
        </w:rPr>
      </w:pPr>
      <w:r w:rsidRPr="007C4B97">
        <w:rPr>
          <w:rFonts w:ascii="Times New Roman" w:hAnsi="Times New Roman" w:cs="Times New Roman"/>
          <w:sz w:val="32"/>
        </w:rPr>
        <w:t>David Masad</w:t>
      </w:r>
    </w:p>
    <w:p w14:paraId="225AE33C" w14:textId="77777777" w:rsidR="00B144C9" w:rsidRPr="007C4B97" w:rsidRDefault="00B144C9" w:rsidP="00B144C9">
      <w:pPr>
        <w:jc w:val="center"/>
        <w:rPr>
          <w:rFonts w:ascii="Times New Roman" w:hAnsi="Times New Roman" w:cs="Times New Roman"/>
          <w:sz w:val="28"/>
        </w:rPr>
      </w:pPr>
      <w:r w:rsidRPr="007C4B97">
        <w:rPr>
          <w:rFonts w:ascii="Times New Roman" w:hAnsi="Times New Roman" w:cs="Times New Roman"/>
          <w:sz w:val="28"/>
        </w:rPr>
        <w:t>Department of Computational Social Science, George Mason University</w:t>
      </w:r>
    </w:p>
    <w:p w14:paraId="1E81A571" w14:textId="77777777" w:rsidR="00B144C9" w:rsidRPr="007C4B97" w:rsidRDefault="00B144C9" w:rsidP="00B144C9">
      <w:pPr>
        <w:jc w:val="center"/>
        <w:rPr>
          <w:rFonts w:ascii="Times New Roman" w:hAnsi="Times New Roman" w:cs="Times New Roman"/>
          <w:sz w:val="28"/>
        </w:rPr>
      </w:pPr>
    </w:p>
    <w:p w14:paraId="5DE901E2" w14:textId="77777777" w:rsidR="00CA1B38" w:rsidRPr="007C4B97" w:rsidRDefault="00CA1B38" w:rsidP="00B144C9">
      <w:pPr>
        <w:jc w:val="center"/>
        <w:rPr>
          <w:rFonts w:ascii="Times New Roman" w:hAnsi="Times New Roman" w:cs="Times New Roman"/>
          <w:b/>
          <w:sz w:val="28"/>
        </w:rPr>
      </w:pPr>
      <w:r w:rsidRPr="007C4B97">
        <w:rPr>
          <w:rFonts w:ascii="Times New Roman" w:hAnsi="Times New Roman" w:cs="Times New Roman"/>
          <w:b/>
          <w:sz w:val="28"/>
        </w:rPr>
        <w:t>PUBP 710: Geopolitics of Energy Security</w:t>
      </w:r>
    </w:p>
    <w:p w14:paraId="016C32EC" w14:textId="6AA0779E" w:rsidR="00B144C9" w:rsidRPr="007C4B97" w:rsidRDefault="00CA1B38" w:rsidP="00B144C9">
      <w:pPr>
        <w:jc w:val="center"/>
        <w:rPr>
          <w:rFonts w:ascii="Times New Roman" w:hAnsi="Times New Roman" w:cs="Times New Roman"/>
          <w:b/>
          <w:sz w:val="28"/>
        </w:rPr>
      </w:pPr>
      <w:r w:rsidRPr="007C4B97">
        <w:rPr>
          <w:rFonts w:ascii="Times New Roman" w:hAnsi="Times New Roman" w:cs="Times New Roman"/>
          <w:b/>
          <w:sz w:val="28"/>
        </w:rPr>
        <w:t>Fall, 2013</w:t>
      </w:r>
      <w:r w:rsidR="00B144C9" w:rsidRPr="007C4B97">
        <w:rPr>
          <w:rFonts w:ascii="Times New Roman" w:hAnsi="Times New Roman" w:cs="Times New Roman"/>
          <w:b/>
          <w:sz w:val="28"/>
        </w:rPr>
        <w:t xml:space="preserve"> </w:t>
      </w:r>
    </w:p>
    <w:p w14:paraId="65D91791" w14:textId="77777777" w:rsidR="00B144C9" w:rsidRPr="007C4B97" w:rsidRDefault="00B144C9" w:rsidP="00B144C9">
      <w:pPr>
        <w:jc w:val="center"/>
        <w:rPr>
          <w:rFonts w:ascii="Times New Roman" w:hAnsi="Times New Roman" w:cs="Times New Roman"/>
        </w:rPr>
      </w:pPr>
    </w:p>
    <w:p w14:paraId="546A03D2" w14:textId="77777777" w:rsidR="00B144C9" w:rsidRPr="007C4B97" w:rsidRDefault="00B144C9" w:rsidP="00B144C9">
      <w:pPr>
        <w:jc w:val="center"/>
        <w:rPr>
          <w:rFonts w:ascii="Times New Roman" w:hAnsi="Times New Roman" w:cs="Times New Roman"/>
        </w:rPr>
      </w:pPr>
    </w:p>
    <w:p w14:paraId="02216995" w14:textId="77777777" w:rsidR="00B144C9" w:rsidRPr="007C4B97" w:rsidRDefault="00B144C9" w:rsidP="00B144C9">
      <w:pPr>
        <w:jc w:val="center"/>
        <w:rPr>
          <w:rFonts w:ascii="Times New Roman" w:hAnsi="Times New Roman" w:cs="Times New Roman"/>
        </w:rPr>
      </w:pPr>
    </w:p>
    <w:p w14:paraId="506C0B3F" w14:textId="77777777" w:rsidR="00B144C9" w:rsidRPr="007C4B97" w:rsidRDefault="00B144C9" w:rsidP="00B144C9">
      <w:pPr>
        <w:jc w:val="center"/>
        <w:rPr>
          <w:rFonts w:ascii="Times New Roman" w:hAnsi="Times New Roman" w:cs="Times New Roman"/>
        </w:rPr>
      </w:pPr>
    </w:p>
    <w:p w14:paraId="1D8DCF86" w14:textId="77777777" w:rsidR="001F456F" w:rsidRPr="007C4B97" w:rsidRDefault="00B61A55" w:rsidP="00B61A55">
      <w:pPr>
        <w:rPr>
          <w:rFonts w:ascii="Times New Roman" w:hAnsi="Times New Roman" w:cs="Times New Roman"/>
        </w:rPr>
        <w:sectPr w:rsidR="001F456F" w:rsidRPr="007C4B97" w:rsidSect="007307F4">
          <w:footerReference w:type="even" r:id="rId9"/>
          <w:footerReference w:type="default" r:id="rId10"/>
          <w:pgSz w:w="12240" w:h="15840"/>
          <w:pgMar w:top="1440" w:right="1440" w:bottom="1440" w:left="1440" w:header="720" w:footer="720" w:gutter="0"/>
          <w:pgNumType w:start="1"/>
          <w:cols w:space="720"/>
          <w:titlePg/>
          <w:docGrid w:linePitch="360"/>
        </w:sectPr>
      </w:pPr>
      <w:r w:rsidRPr="007C4B97">
        <w:rPr>
          <w:rFonts w:ascii="Times New Roman" w:hAnsi="Times New Roman" w:cs="Times New Roman"/>
        </w:rPr>
        <w:t>TARGET AUDIENCE: Policy analysts who are either producers or consumers of forecasts of international energy security.</w:t>
      </w:r>
    </w:p>
    <w:p w14:paraId="0ECA195B" w14:textId="7A3B7EDD" w:rsidR="00D442D1" w:rsidRPr="00DC0688" w:rsidRDefault="0009258A" w:rsidP="00D442D1">
      <w:pPr>
        <w:pStyle w:val="Heading1"/>
        <w:spacing w:line="480" w:lineRule="auto"/>
        <w:rPr>
          <w:rFonts w:ascii="Times New Roman" w:hAnsi="Times New Roman"/>
          <w:color w:val="auto"/>
          <w:sz w:val="20"/>
        </w:rPr>
      </w:pPr>
      <w:r w:rsidRPr="00DC0688">
        <w:rPr>
          <w:rFonts w:ascii="Times New Roman" w:hAnsi="Times New Roman"/>
          <w:color w:val="auto"/>
          <w:sz w:val="32"/>
        </w:rPr>
        <w:lastRenderedPageBreak/>
        <w:t>I. KEY POLICY QUESTION</w:t>
      </w:r>
      <w:bookmarkEnd w:id="0"/>
    </w:p>
    <w:p w14:paraId="2D6153EB" w14:textId="77777777" w:rsidR="009D0C74" w:rsidRPr="007C4B97" w:rsidRDefault="0009258A" w:rsidP="00D442D1">
      <w:pPr>
        <w:spacing w:after="0" w:line="480" w:lineRule="auto"/>
        <w:rPr>
          <w:rFonts w:ascii="Times New Roman" w:hAnsi="Times New Roman" w:cs="Times New Roman"/>
        </w:rPr>
      </w:pPr>
      <w:r w:rsidRPr="007C4B97">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7C4B97" w:rsidRDefault="00CA1B38" w:rsidP="00AD2081">
      <w:pPr>
        <w:spacing w:after="0" w:line="480" w:lineRule="auto"/>
        <w:rPr>
          <w:rFonts w:ascii="Times New Roman" w:hAnsi="Times New Roman" w:cs="Times New Roman"/>
        </w:rPr>
      </w:pPr>
    </w:p>
    <w:p w14:paraId="09DD372A" w14:textId="77777777" w:rsidR="009D0C74" w:rsidRPr="00DC0688" w:rsidRDefault="0009258A" w:rsidP="00AD2081">
      <w:pPr>
        <w:pStyle w:val="Heading1"/>
        <w:spacing w:before="0" w:line="480" w:lineRule="auto"/>
        <w:rPr>
          <w:rFonts w:ascii="Times New Roman" w:hAnsi="Times New Roman" w:cs="Times New Roman"/>
          <w:color w:val="auto"/>
          <w:sz w:val="32"/>
          <w:szCs w:val="24"/>
        </w:rPr>
      </w:pPr>
      <w:bookmarkStart w:id="1" w:name="ii.-exsum"/>
      <w:r w:rsidRPr="00DC0688">
        <w:rPr>
          <w:rFonts w:ascii="Times New Roman" w:hAnsi="Times New Roman" w:cs="Times New Roman"/>
          <w:color w:val="auto"/>
          <w:sz w:val="32"/>
          <w:szCs w:val="24"/>
        </w:rPr>
        <w:t>II. EXSUM</w:t>
      </w:r>
    </w:p>
    <w:bookmarkEnd w:id="1"/>
    <w:p w14:paraId="069A031A" w14:textId="77777777" w:rsidR="009D0C74" w:rsidRPr="007C4B97" w:rsidRDefault="0009258A" w:rsidP="00AD2081">
      <w:pPr>
        <w:spacing w:after="0" w:line="480" w:lineRule="auto"/>
        <w:ind w:firstLine="720"/>
        <w:rPr>
          <w:rFonts w:ascii="Times New Roman" w:hAnsi="Times New Roman" w:cs="Times New Roman"/>
        </w:rPr>
      </w:pPr>
      <w:r w:rsidRPr="007C4B97">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7C4B97" w:rsidRDefault="00CA1B38" w:rsidP="00AD2081">
      <w:pPr>
        <w:spacing w:after="0" w:line="480" w:lineRule="auto"/>
        <w:ind w:firstLine="720"/>
        <w:rPr>
          <w:rFonts w:ascii="Times New Roman" w:hAnsi="Times New Roman" w:cs="Times New Roman"/>
        </w:rPr>
      </w:pPr>
    </w:p>
    <w:p w14:paraId="5D75C2CD" w14:textId="77777777" w:rsidR="009D0C74" w:rsidRPr="007C4B97" w:rsidRDefault="0009258A" w:rsidP="00AD2081">
      <w:pPr>
        <w:pStyle w:val="Heading1"/>
        <w:spacing w:before="0" w:line="480" w:lineRule="auto"/>
        <w:rPr>
          <w:rFonts w:ascii="Times New Roman" w:hAnsi="Times New Roman" w:cs="Times New Roman"/>
          <w:color w:val="auto"/>
          <w:sz w:val="24"/>
          <w:szCs w:val="24"/>
        </w:rPr>
      </w:pPr>
      <w:bookmarkStart w:id="2" w:name="iii.-time-frame-simulating-the-long-pres"/>
      <w:r w:rsidRPr="007C4B97">
        <w:rPr>
          <w:rFonts w:ascii="Times New Roman" w:hAnsi="Times New Roman" w:cs="Times New Roman"/>
          <w:color w:val="auto"/>
          <w:sz w:val="24"/>
          <w:szCs w:val="24"/>
        </w:rPr>
        <w:t>III. TIME FRAME: Simulating the Long Present</w:t>
      </w:r>
    </w:p>
    <w:bookmarkEnd w:id="2"/>
    <w:p w14:paraId="79A7ED87" w14:textId="6F89973F" w:rsidR="0083798C" w:rsidRPr="007C4B97" w:rsidRDefault="0083798C" w:rsidP="00AD2081">
      <w:pPr>
        <w:spacing w:after="0" w:line="480" w:lineRule="auto"/>
        <w:ind w:firstLine="720"/>
        <w:rPr>
          <w:rFonts w:ascii="Times New Roman" w:hAnsi="Times New Roman" w:cs="Times New Roman"/>
        </w:rPr>
      </w:pPr>
      <w:r w:rsidRPr="007C4B97">
        <w:rPr>
          <w:rFonts w:ascii="Times New Roman" w:hAnsi="Times New Roman" w:cs="Times New Roman"/>
        </w:rPr>
        <w:t>The structure of the international oil markets change slowly. Major trade relationships remain largely stable from year to year, while reserves are discovered, brought online, and depleted slowly. While the root causes of crises (domestic grievances, regional instability) also change over years and decades, crises themselves can break out rapidly</w:t>
      </w:r>
      <w:r w:rsidR="00AA6374" w:rsidRPr="007C4B97">
        <w:rPr>
          <w:rFonts w:ascii="Times New Roman" w:hAnsi="Times New Roman" w:cs="Times New Roman"/>
        </w:rPr>
        <w:t xml:space="preserve">, with little warning. While some crises may go on for years (such as the Iran-Iraq war) others may end in weeks (the Venezuela general strike). Thus, the model simulates what I call the Long Present, the </w:t>
      </w:r>
      <w:r w:rsidR="00AA6374" w:rsidRPr="007C4B97">
        <w:rPr>
          <w:rFonts w:ascii="Times New Roman" w:hAnsi="Times New Roman" w:cs="Times New Roman"/>
        </w:rPr>
        <w:lastRenderedPageBreak/>
        <w:t>continuation of the current structure of the international oil system into the near future. Each tick of the model simulates one month, and each model run is 5 years (60 months) long, capturing the medium-term impact of short-term events.</w:t>
      </w:r>
    </w:p>
    <w:p w14:paraId="0481259F" w14:textId="77777777" w:rsidR="009D0C74" w:rsidRPr="00DC0688" w:rsidRDefault="0009258A" w:rsidP="00AD2081">
      <w:pPr>
        <w:pStyle w:val="Heading1"/>
        <w:spacing w:before="0" w:line="480" w:lineRule="auto"/>
        <w:rPr>
          <w:rFonts w:ascii="Times New Roman" w:hAnsi="Times New Roman" w:cs="Times New Roman"/>
          <w:color w:val="auto"/>
          <w:sz w:val="32"/>
          <w:szCs w:val="24"/>
        </w:rPr>
      </w:pPr>
      <w:bookmarkStart w:id="3" w:name="iv.-assumptions"/>
      <w:r w:rsidRPr="00DC0688">
        <w:rPr>
          <w:rFonts w:ascii="Times New Roman" w:hAnsi="Times New Roman" w:cs="Times New Roman"/>
          <w:color w:val="auto"/>
          <w:sz w:val="32"/>
          <w:szCs w:val="24"/>
        </w:rPr>
        <w:t>IV. ASSUMPTIONS</w:t>
      </w:r>
    </w:p>
    <w:p w14:paraId="698CFE4E" w14:textId="67FF253D"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4" w:name="supply-shocks"/>
      <w:bookmarkEnd w:id="3"/>
      <w:r>
        <w:rPr>
          <w:rFonts w:ascii="Times New Roman" w:hAnsi="Times New Roman" w:cs="Times New Roman"/>
          <w:color w:val="auto"/>
          <w:sz w:val="28"/>
          <w:szCs w:val="24"/>
        </w:rPr>
        <w:t>Supply Shocks</w:t>
      </w:r>
    </w:p>
    <w:bookmarkEnd w:id="4"/>
    <w:p w14:paraId="6104E35B" w14:textId="3B46EFC4" w:rsidR="009D0C74" w:rsidRPr="007C4B97" w:rsidRDefault="00AA6374" w:rsidP="00AD2081">
      <w:pPr>
        <w:spacing w:after="0" w:line="480" w:lineRule="auto"/>
        <w:ind w:firstLine="720"/>
        <w:rPr>
          <w:rFonts w:ascii="Times New Roman" w:hAnsi="Times New Roman" w:cs="Times New Roman"/>
        </w:rPr>
      </w:pPr>
      <w:r w:rsidRPr="007C4B97">
        <w:rPr>
          <w:rFonts w:ascii="Times New Roman" w:hAnsi="Times New Roman" w:cs="Times New Roman"/>
        </w:rPr>
        <w:t>One key mechanism tying</w:t>
      </w:r>
      <w:r w:rsidR="0009258A" w:rsidRPr="007C4B97">
        <w:rPr>
          <w:rFonts w:ascii="Times New Roman" w:hAnsi="Times New Roman" w:cs="Times New Roman"/>
        </w:rPr>
        <w:t xml:space="preserve"> geopolitics to energy security </w:t>
      </w:r>
      <w:r w:rsidRPr="007C4B97">
        <w:rPr>
          <w:rFonts w:ascii="Times New Roman" w:hAnsi="Times New Roman" w:cs="Times New Roman"/>
        </w:rPr>
        <w:t>is</w:t>
      </w:r>
      <w:r w:rsidR="0009258A" w:rsidRPr="007C4B97">
        <w:rPr>
          <w:rFonts w:ascii="Times New Roman" w:hAnsi="Times New Roman" w:cs="Times New Roman"/>
        </w:rPr>
        <w:t xml:space="preserve"> the mechanism of supply shocks. Generally speaking, a supply shock refers to a rise in oil prices due to an </w:t>
      </w:r>
      <w:r w:rsidR="00FE2AEE" w:rsidRPr="007C4B97">
        <w:rPr>
          <w:rFonts w:ascii="Times New Roman" w:hAnsi="Times New Roman" w:cs="Times New Roman"/>
        </w:rPr>
        <w:t xml:space="preserve">active disruption in production. </w:t>
      </w:r>
      <w:r w:rsidR="0009258A" w:rsidRPr="007C4B97">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629F4F7D" w14:textId="59D87CD7" w:rsidR="00811196" w:rsidRPr="00DC0688" w:rsidRDefault="00DC0688" w:rsidP="00811196">
      <w:pPr>
        <w:pStyle w:val="Heading2"/>
        <w:spacing w:before="0" w:line="480" w:lineRule="auto"/>
        <w:rPr>
          <w:rFonts w:ascii="Times New Roman" w:hAnsi="Times New Roman" w:cs="Times New Roman"/>
          <w:color w:val="auto"/>
          <w:sz w:val="28"/>
          <w:szCs w:val="24"/>
        </w:rPr>
      </w:pPr>
      <w:r>
        <w:rPr>
          <w:rFonts w:ascii="Times New Roman" w:hAnsi="Times New Roman" w:cs="Times New Roman"/>
          <w:color w:val="auto"/>
          <w:sz w:val="28"/>
          <w:szCs w:val="24"/>
        </w:rPr>
        <w:t>Model Description</w:t>
      </w:r>
    </w:p>
    <w:p w14:paraId="720E7EC3" w14:textId="6B3F75B1" w:rsidR="00811196" w:rsidRPr="00B6591C" w:rsidRDefault="00811196" w:rsidP="00B6591C">
      <w:pPr>
        <w:spacing w:line="480" w:lineRule="auto"/>
        <w:rPr>
          <w:rFonts w:ascii="Times New Roman" w:hAnsi="Times New Roman"/>
        </w:rPr>
      </w:pPr>
      <w:r w:rsidRPr="007C4B97">
        <w:rPr>
          <w:rFonts w:ascii="Times New Roman" w:hAnsi="Times New Roman"/>
        </w:rPr>
        <w:tab/>
        <w:t>The model consists of simulated countries on a world map, each of which has a set supply of and demand for crude oil, and a set network of trade partners. Each month of the simulation, countries experience crises with some probability, and these crises may spread to neighboring countries. When a country is in crisis, its participation in the international oil market  is considered at risk, affecting both upsteam suppliers and downstream consumers. Optionally, countries may use their spare capacity to increase production in order to assist allies experiencing supply shocks, though this has the potential to glut the overall international market.</w:t>
      </w:r>
    </w:p>
    <w:p w14:paraId="5F879C2D" w14:textId="6A600FCA" w:rsidR="0068767A" w:rsidRPr="007C4B97" w:rsidRDefault="0068767A" w:rsidP="00AD2081">
      <w:pPr>
        <w:spacing w:after="0" w:line="480" w:lineRule="auto"/>
        <w:ind w:firstLine="720"/>
        <w:rPr>
          <w:rFonts w:ascii="Times New Roman" w:hAnsi="Times New Roman" w:cs="Times New Roman"/>
          <w:i/>
        </w:rPr>
      </w:pPr>
      <w:r w:rsidRPr="007C4B97">
        <w:rPr>
          <w:rFonts w:ascii="Times New Roman" w:hAnsi="Times New Roman" w:cs="Times New Roman"/>
          <w:i/>
        </w:rPr>
        <w:lastRenderedPageBreak/>
        <w:t>See Appendix B for more detailed overview of the model.</w:t>
      </w:r>
    </w:p>
    <w:p w14:paraId="15067A4E" w14:textId="77777777" w:rsidR="009D0C74" w:rsidRPr="00DC0688" w:rsidRDefault="0009258A" w:rsidP="00AD2081">
      <w:pPr>
        <w:pStyle w:val="Heading1"/>
        <w:spacing w:before="0" w:line="480" w:lineRule="auto"/>
        <w:rPr>
          <w:rFonts w:ascii="Times New Roman" w:hAnsi="Times New Roman" w:cs="Times New Roman"/>
          <w:color w:val="auto"/>
          <w:sz w:val="32"/>
          <w:szCs w:val="24"/>
        </w:rPr>
      </w:pPr>
      <w:bookmarkStart w:id="5" w:name="v.-analysis"/>
      <w:r w:rsidRPr="00DC0688">
        <w:rPr>
          <w:rFonts w:ascii="Times New Roman" w:hAnsi="Times New Roman" w:cs="Times New Roman"/>
          <w:color w:val="auto"/>
          <w:sz w:val="32"/>
          <w:szCs w:val="24"/>
        </w:rPr>
        <w:t>V. ANALYSIS</w:t>
      </w:r>
    </w:p>
    <w:p w14:paraId="348EC52C" w14:textId="493EB412"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6" w:name="drivers"/>
      <w:bookmarkEnd w:id="5"/>
      <w:r w:rsidRPr="00DC0688">
        <w:rPr>
          <w:rFonts w:ascii="Times New Roman" w:hAnsi="Times New Roman" w:cs="Times New Roman"/>
          <w:color w:val="auto"/>
          <w:sz w:val="28"/>
          <w:szCs w:val="24"/>
        </w:rPr>
        <w:t>Drivers</w:t>
      </w:r>
    </w:p>
    <w:bookmarkEnd w:id="6"/>
    <w:p w14:paraId="7AAEA8C5" w14:textId="57899098" w:rsidR="009D0C74" w:rsidRPr="007C4B97" w:rsidRDefault="0009258A" w:rsidP="00AD2081">
      <w:pPr>
        <w:spacing w:after="0" w:line="480" w:lineRule="auto"/>
        <w:ind w:firstLine="720"/>
        <w:rPr>
          <w:rFonts w:ascii="Times New Roman" w:hAnsi="Times New Roman" w:cs="Times New Roman"/>
        </w:rPr>
      </w:pPr>
      <w:r w:rsidRPr="007C4B97">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30485014"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THE OIL TRADE NETWORK</w:t>
      </w:r>
      <w:r w:rsidR="00463E74" w:rsidRPr="007C4B97">
        <w:rPr>
          <w:rFonts w:ascii="Times New Roman" w:hAnsi="Times New Roman" w:cs="Times New Roman"/>
        </w:rPr>
        <w:t xml:space="preserve"> is obtained from oil imports reported in the UN COMTRADE database for 2012.</w:t>
      </w:r>
      <w:r w:rsidRPr="007C4B97">
        <w:rPr>
          <w:rFonts w:ascii="Times New Roman" w:hAnsi="Times New Roman" w:cs="Times New Roman"/>
        </w:rPr>
        <w:t xml:space="preserve"> </w:t>
      </w:r>
    </w:p>
    <w:p w14:paraId="64C9E43A" w14:textId="736A0F91" w:rsidR="009D0C74" w:rsidRPr="007C4B97" w:rsidRDefault="0009258A" w:rsidP="00673A59">
      <w:pPr>
        <w:numPr>
          <w:ilvl w:val="0"/>
          <w:numId w:val="3"/>
        </w:numPr>
        <w:spacing w:after="0" w:line="480" w:lineRule="auto"/>
        <w:rPr>
          <w:rFonts w:ascii="Times New Roman" w:hAnsi="Times New Roman" w:cs="Times New Roman"/>
        </w:rPr>
      </w:pPr>
      <w:r w:rsidRPr="007C4B97">
        <w:rPr>
          <w:rFonts w:ascii="Times New Roman" w:hAnsi="Times New Roman" w:cs="Times New Roman"/>
        </w:rPr>
        <w:t>OIL SUPPLY AND DEMAND</w:t>
      </w:r>
      <w:r w:rsidR="00463E74" w:rsidRPr="007C4B97">
        <w:rPr>
          <w:rFonts w:ascii="Times New Roman" w:hAnsi="Times New Roman" w:cs="Times New Roman"/>
        </w:rPr>
        <w:t xml:space="preserve"> begin at</w:t>
      </w:r>
      <w:r w:rsidR="00673A59" w:rsidRPr="007C4B97">
        <w:rPr>
          <w:rFonts w:ascii="Times New Roman" w:hAnsi="Times New Roman" w:cs="Times New Roman"/>
        </w:rPr>
        <w:t xml:space="preserve"> total imports and outputs. </w:t>
      </w:r>
      <w:r w:rsidRPr="007C4B97">
        <w:rPr>
          <w:rFonts w:ascii="Times New Roman" w:hAnsi="Times New Roman" w:cs="Times New Roman"/>
        </w:rPr>
        <w:t xml:space="preserve">For </w:t>
      </w:r>
      <w:r w:rsidR="00463E74" w:rsidRPr="007C4B97">
        <w:rPr>
          <w:rFonts w:ascii="Times New Roman" w:hAnsi="Times New Roman" w:cs="Times New Roman"/>
        </w:rPr>
        <w:t>the top 10 oil producers, I incorporate IEA estimates of their consumption of domestic production.</w:t>
      </w:r>
    </w:p>
    <w:p w14:paraId="7470131C" w14:textId="054C9938"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POLITICAL INSTABILITY data was obtained from the Economist Intelligence Unit's Political Instability Index [[CITE]]. </w:t>
      </w:r>
      <w:r w:rsidR="0072552B" w:rsidRPr="007C4B97">
        <w:rPr>
          <w:rFonts w:ascii="Times New Roman" w:hAnsi="Times New Roman" w:cs="Times New Roman"/>
        </w:rPr>
        <w:t>Probabilities are set such that</w:t>
      </w:r>
      <w:r w:rsidRPr="007C4B97">
        <w:rPr>
          <w:rFonts w:ascii="Times New Roman" w:hAnsi="Times New Roman" w:cs="Times New Roman"/>
        </w:rPr>
        <w:t xml:space="preserve"> a country with a Political </w:t>
      </w:r>
      <w:r w:rsidR="00463E74" w:rsidRPr="007C4B97">
        <w:rPr>
          <w:rFonts w:ascii="Times New Roman" w:hAnsi="Times New Roman" w:cs="Times New Roman"/>
        </w:rPr>
        <w:t>Ins</w:t>
      </w:r>
      <w:r w:rsidRPr="007C4B97">
        <w:rPr>
          <w:rFonts w:ascii="Times New Roman" w:hAnsi="Times New Roman" w:cs="Times New Roman"/>
        </w:rPr>
        <w:t xml:space="preserve">tability Index value of 10 (the highest possible value) has </w:t>
      </w:r>
      <w:r w:rsidR="00463E74" w:rsidRPr="007C4B97">
        <w:rPr>
          <w:rFonts w:ascii="Times New Roman" w:hAnsi="Times New Roman" w:cs="Times New Roman"/>
        </w:rPr>
        <w:t>a</w:t>
      </w:r>
      <w:r w:rsidRPr="007C4B97">
        <w:rPr>
          <w:rFonts w:ascii="Times New Roman" w:hAnsi="Times New Roman" w:cs="Times New Roman"/>
        </w:rPr>
        <w:t>n overall 80% chance</w:t>
      </w:r>
      <w:r w:rsidR="00463E74" w:rsidRPr="007C4B97">
        <w:rPr>
          <w:rFonts w:ascii="Times New Roman" w:hAnsi="Times New Roman" w:cs="Times New Roman"/>
        </w:rPr>
        <w:t xml:space="preserve"> of entering crisis</w:t>
      </w:r>
      <w:r w:rsidRPr="007C4B97">
        <w:rPr>
          <w:rFonts w:ascii="Times New Roman" w:hAnsi="Times New Roman" w:cs="Times New Roman"/>
        </w:rPr>
        <w:t xml:space="preserve"> over a two-year period.</w:t>
      </w:r>
    </w:p>
    <w:p w14:paraId="669EA27A" w14:textId="68F343A4" w:rsidR="00463E74" w:rsidRPr="007C4B97" w:rsidRDefault="00463E74" w:rsidP="00463E74">
      <w:pPr>
        <w:spacing w:after="0" w:line="480" w:lineRule="auto"/>
        <w:rPr>
          <w:rFonts w:ascii="Times New Roman" w:hAnsi="Times New Roman" w:cs="Times New Roman"/>
        </w:rPr>
      </w:pPr>
      <w:r w:rsidRPr="007C4B97">
        <w:rPr>
          <w:rFonts w:ascii="Times New Roman" w:hAnsi="Times New Roman" w:cs="Times New Roman"/>
        </w:rPr>
        <w:t>There are two special cases, contagion and assistance, which remain fixed throughout each model run but may change between them, in order to model different ideas of how the world works:</w:t>
      </w:r>
    </w:p>
    <w:p w14:paraId="0A9A10E9" w14:textId="75D5350B"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CONTAGION </w:t>
      </w:r>
      <w:r w:rsidR="00463E74" w:rsidRPr="007C4B97">
        <w:rPr>
          <w:rFonts w:ascii="Times New Roman" w:hAnsi="Times New Roman" w:cs="Times New Roman"/>
        </w:rPr>
        <w:t>is the spread of instability or conflict</w:t>
      </w:r>
      <w:r w:rsidRPr="007C4B97">
        <w:rPr>
          <w:rFonts w:ascii="Times New Roman" w:hAnsi="Times New Roman" w:cs="Times New Roman"/>
        </w:rPr>
        <w:t>. The topic of whether (and how) internal unrest spreads from country to country is still under active debate within the political science literature [[CITE]]. Thus, the model explores both futures where conflict contagion occurs and when it does not.</w:t>
      </w:r>
    </w:p>
    <w:p w14:paraId="0F60EACC" w14:textId="141C5B12" w:rsidR="00463E74" w:rsidRPr="007C4B97" w:rsidRDefault="00463E74"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lastRenderedPageBreak/>
        <w:t xml:space="preserve">ASSISTANCE here is the ability of major oil exporters to rapidly increase production in order to counterbalance loss of secure oil elsewhere in the system. </w:t>
      </w:r>
    </w:p>
    <w:p w14:paraId="5387784F" w14:textId="4B0446C8"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7" w:name="variables"/>
      <w:r w:rsidRPr="00DC0688">
        <w:rPr>
          <w:rFonts w:ascii="Times New Roman" w:hAnsi="Times New Roman" w:cs="Times New Roman"/>
          <w:color w:val="auto"/>
          <w:sz w:val="28"/>
          <w:szCs w:val="24"/>
        </w:rPr>
        <w:t>Variables</w:t>
      </w:r>
    </w:p>
    <w:bookmarkEnd w:id="7"/>
    <w:p w14:paraId="0F1F5B59" w14:textId="705F98B1"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 xml:space="preserve">Energy security is determined by many </w:t>
      </w:r>
      <w:r w:rsidR="0087388E" w:rsidRPr="007C4B97">
        <w:rPr>
          <w:rFonts w:ascii="Times New Roman" w:hAnsi="Times New Roman" w:cs="Times New Roman"/>
        </w:rPr>
        <w:t>variables that</w:t>
      </w:r>
      <w:r w:rsidRPr="007C4B97">
        <w:rPr>
          <w:rFonts w:ascii="Times New Roman" w:hAnsi="Times New Roman" w:cs="Times New Roman"/>
        </w:rPr>
        <w:t xml:space="preserve"> change over time. Some of these variables are under countries' control, some involve the complex interactions between countries, while others still depend on the varagies of chance and science. Only a small subset of these variables have been incorporated into the model to date, but there is no reason that more could not be included as well.</w:t>
      </w:r>
    </w:p>
    <w:p w14:paraId="41002758" w14:textId="549E0BC2" w:rsidR="009D0C74" w:rsidRPr="007C4B97" w:rsidRDefault="00DC0688" w:rsidP="00AD2081">
      <w:pPr>
        <w:pStyle w:val="Heading3"/>
        <w:spacing w:before="0" w:line="480" w:lineRule="auto"/>
        <w:rPr>
          <w:rFonts w:ascii="Times New Roman" w:hAnsi="Times New Roman" w:cs="Times New Roman"/>
          <w:color w:val="auto"/>
          <w:sz w:val="24"/>
          <w:szCs w:val="24"/>
        </w:rPr>
      </w:pPr>
      <w:bookmarkStart w:id="8" w:name="model-variables"/>
      <w:r>
        <w:rPr>
          <w:rFonts w:ascii="Times New Roman" w:hAnsi="Times New Roman" w:cs="Times New Roman"/>
          <w:color w:val="auto"/>
          <w:sz w:val="24"/>
          <w:szCs w:val="24"/>
        </w:rPr>
        <w:t>Model Variables</w:t>
      </w:r>
    </w:p>
    <w:bookmarkEnd w:id="8"/>
    <w:p w14:paraId="3DF235C8" w14:textId="46AD3DA7" w:rsidR="009D0C74" w:rsidRPr="007C4B97" w:rsidRDefault="0009258A" w:rsidP="00AD2081">
      <w:pPr>
        <w:numPr>
          <w:ilvl w:val="0"/>
          <w:numId w:val="4"/>
        </w:numPr>
        <w:spacing w:after="0" w:line="480" w:lineRule="auto"/>
        <w:rPr>
          <w:rFonts w:ascii="Times New Roman" w:hAnsi="Times New Roman" w:cs="Times New Roman"/>
        </w:rPr>
      </w:pPr>
      <w:r w:rsidRPr="007C4B97">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sidRPr="007C4B97">
        <w:rPr>
          <w:rFonts w:ascii="Times New Roman" w:hAnsi="Times New Roman" w:cs="Times New Roman"/>
        </w:rPr>
        <w:t>.</w:t>
      </w:r>
    </w:p>
    <w:p w14:paraId="45A1688D" w14:textId="77777777" w:rsidR="00811196" w:rsidRPr="007C4B97" w:rsidRDefault="0009258A" w:rsidP="00811196">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LENGTH OF CRISES is randomly drawn from a power law distributions. Powe laws are known to characterize inter-state conflicts, terrorist attacks, financial crises and other complex events. Power laws have small-magnitude events more likely than large-magnitude ones, with an important caveat – the large values remain possible, and in fact may be arbitrarily large. </w:t>
      </w:r>
    </w:p>
    <w:p w14:paraId="332DFE4A" w14:textId="08FDF601" w:rsidR="00811196" w:rsidRPr="007C4B97" w:rsidRDefault="00811196" w:rsidP="00811196">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SPARE CAPACITY refers to countries' ability to </w:t>
      </w:r>
      <w:r w:rsidRPr="007C4B97">
        <w:rPr>
          <w:rFonts w:ascii="Times New Roman" w:hAnsi="Times New Roman" w:cs="Times New Roman"/>
          <w:i/>
        </w:rPr>
        <w:t>rapidly</w:t>
      </w:r>
      <w:r w:rsidRPr="007C4B97">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w:t>
      </w:r>
      <w:r w:rsidRPr="007C4B97">
        <w:rPr>
          <w:rFonts w:ascii="Times New Roman" w:hAnsi="Times New Roman" w:cs="Times New Roman"/>
        </w:rPr>
        <w:lastRenderedPageBreak/>
        <w:t>not itself in crisis, A will increase its output with a probability equal to B's share of A's exports. Thus, the more important B is to A, the greater the likelihood that B will assist it. The production ramp-up is temporary, and will cease as soon as A ceases to experience a supply shock. Since oil is fungible, this temporary increase in production affects not only the country in supply shock, but all of A's trade partners.</w:t>
      </w:r>
    </w:p>
    <w:p w14:paraId="10061931" w14:textId="18741736" w:rsidR="009D0C74" w:rsidRPr="007C4B97" w:rsidRDefault="0009258A" w:rsidP="00AD2081">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ENERGY SECURITY is </w:t>
      </w:r>
      <w:r w:rsidR="00811196" w:rsidRPr="007C4B97">
        <w:rPr>
          <w:rFonts w:ascii="Times New Roman" w:hAnsi="Times New Roman" w:cs="Times New Roman"/>
        </w:rPr>
        <w:t>the model’s ultimate output, measured by three</w:t>
      </w:r>
      <w:r w:rsidRPr="007C4B97">
        <w:rPr>
          <w:rFonts w:ascii="Times New Roman" w:hAnsi="Times New Roman" w:cs="Times New Roman"/>
        </w:rPr>
        <w:t xml:space="preserve"> ratios:</w:t>
      </w:r>
    </w:p>
    <w:p w14:paraId="550136FB" w14:textId="77777777"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b/>
        </w:rPr>
        <w:t>Import Demand / Supply</w:t>
      </w:r>
      <w:r w:rsidRPr="007C4B97">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countries which are less affected by ongoing crises. If the ratio rises above a predefined threshold, a country is considered to be experiencing a SUPPLY SHOCK.</w:t>
      </w:r>
    </w:p>
    <w:p w14:paraId="2AA70E48" w14:textId="75E8A646"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b/>
        </w:rPr>
        <w:t>Export Demand / Supply</w:t>
      </w:r>
      <w:r w:rsidRPr="007C4B97">
        <w:rPr>
          <w:rFonts w:ascii="Times New Roman" w:hAnsi="Times New Roman" w:cs="Times New Roman"/>
        </w:rPr>
        <w:t xml:space="preserve"> is a measure mostly relevant to large oil exporters, and measures the ratio of overall production-for-export to the demand by trade partners who are not themselves currently in crisis. This measure is primarily in place to capture the risk posed to major exporters by demand shocks [[CITE]]</w:t>
      </w:r>
      <w:r w:rsidR="00F60628" w:rsidRPr="007C4B97">
        <w:rPr>
          <w:rFonts w:ascii="Times New Roman" w:hAnsi="Times New Roman" w:cs="Times New Roman"/>
        </w:rPr>
        <w:t>,</w:t>
      </w:r>
      <w:r w:rsidRPr="007C4B97">
        <w:rPr>
          <w:rFonts w:ascii="Times New Roman" w:hAnsi="Times New Roman" w:cs="Times New Roman"/>
        </w:rPr>
        <w:t xml:space="preserve"> which risk pushing the price of oil below a break-even point [[CITE]].</w:t>
      </w:r>
    </w:p>
    <w:p w14:paraId="65DBA47D" w14:textId="77777777"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rPr>
        <w:t xml:space="preserve">In addition, the model tracks a global </w:t>
      </w:r>
      <w:r w:rsidRPr="007C4B97">
        <w:rPr>
          <w:rFonts w:ascii="Times New Roman" w:hAnsi="Times New Roman" w:cs="Times New Roman"/>
          <w:b/>
        </w:rPr>
        <w:t>Current Demand / Current Supply</w:t>
      </w:r>
      <w:r w:rsidRPr="007C4B97">
        <w:rPr>
          <w:rFonts w:ascii="Times New Roman" w:hAnsi="Times New Roman" w:cs="Times New Roman"/>
        </w:rPr>
        <w:t xml:space="preserve"> ratio: the sum of demand from all countries not currently in crisis divided by the sum of all </w:t>
      </w:r>
      <w:r w:rsidRPr="007C4B97">
        <w:rPr>
          <w:rFonts w:ascii="Times New Roman" w:hAnsi="Times New Roman" w:cs="Times New Roman"/>
        </w:rPr>
        <w:lastRenderedPageBreak/>
        <w:t>exports from countries not currently in crisis. This is meant as an approximate proxy for the price of oil.</w:t>
      </w:r>
    </w:p>
    <w:p w14:paraId="26FB2278" w14:textId="3F6AB328"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rPr>
        <w:t xml:space="preserve">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w:t>
      </w:r>
    </w:p>
    <w:p w14:paraId="0B662B64" w14:textId="0893B171" w:rsidR="009D0C74" w:rsidRPr="00DC0688" w:rsidRDefault="00DC0688" w:rsidP="00AD2081">
      <w:pPr>
        <w:pStyle w:val="Heading3"/>
        <w:spacing w:before="0" w:line="480" w:lineRule="auto"/>
        <w:rPr>
          <w:rFonts w:ascii="Times New Roman" w:hAnsi="Times New Roman" w:cs="Times New Roman"/>
          <w:color w:val="auto"/>
          <w:sz w:val="24"/>
          <w:szCs w:val="24"/>
        </w:rPr>
      </w:pPr>
      <w:bookmarkStart w:id="9" w:name="out-of-model-variables"/>
      <w:r w:rsidRPr="00DC0688">
        <w:rPr>
          <w:rFonts w:ascii="Times New Roman" w:hAnsi="Times New Roman" w:cs="Times New Roman"/>
          <w:color w:val="auto"/>
          <w:sz w:val="24"/>
          <w:szCs w:val="24"/>
        </w:rPr>
        <w:t>Out-of-Model Variables</w:t>
      </w:r>
    </w:p>
    <w:bookmarkEnd w:id="9"/>
    <w:p w14:paraId="699B4DFA" w14:textId="375C03BA"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As noted above, many variables that influence a country's overall energy security are not included in thi</w:t>
      </w:r>
      <w:r w:rsidR="00AA1BE9" w:rsidRPr="007C4B97">
        <w:rPr>
          <w:rFonts w:ascii="Times New Roman" w:hAnsi="Times New Roman" w:cs="Times New Roman"/>
        </w:rPr>
        <w:t>s model. Some of the major ones are: NON-OIL ENERGY, countries’ mix of energy sources, which increase or decrease the importance of oil to its energy security; OIL TRANSPORTATION from producers to consumers, including choke points such at the Straits of Hormuz and Malaca; REFINERIES which convert crude oil into petroleum and other consumable products; and INTERVENTIONS, military and otherwise, which may help alleviate supply shocks, or end up exacerbating them. Finally, by assuming the Long Present, the model excludes the slow but steady CHANGE in the international oil system.</w:t>
      </w:r>
    </w:p>
    <w:p w14:paraId="71A5319D" w14:textId="0B4DEA17" w:rsidR="009D0C74" w:rsidRPr="007C4B97" w:rsidRDefault="00DC0688" w:rsidP="00AD2081">
      <w:pPr>
        <w:pStyle w:val="Heading3"/>
        <w:spacing w:before="0" w:line="480" w:lineRule="auto"/>
        <w:rPr>
          <w:rFonts w:ascii="Times New Roman" w:hAnsi="Times New Roman" w:cs="Times New Roman"/>
          <w:color w:val="auto"/>
          <w:sz w:val="24"/>
          <w:szCs w:val="24"/>
        </w:rPr>
      </w:pPr>
      <w:bookmarkStart w:id="10" w:name="wild-cards"/>
      <w:r>
        <w:rPr>
          <w:rFonts w:ascii="Times New Roman" w:hAnsi="Times New Roman" w:cs="Times New Roman"/>
          <w:color w:val="auto"/>
          <w:sz w:val="24"/>
          <w:szCs w:val="24"/>
        </w:rPr>
        <w:t>Wild Cards</w:t>
      </w:r>
    </w:p>
    <w:bookmarkEnd w:id="10"/>
    <w:p w14:paraId="696D428D" w14:textId="3461FD85"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 xml:space="preserve">While most systemic changes are likely to take time to take effect, there are several 'wild card' scenarios </w:t>
      </w:r>
      <w:r w:rsidR="00AD2081" w:rsidRPr="007C4B97">
        <w:rPr>
          <w:rFonts w:ascii="Times New Roman" w:hAnsi="Times New Roman" w:cs="Times New Roman"/>
        </w:rPr>
        <w:t>that</w:t>
      </w:r>
      <w:r w:rsidRPr="007C4B97">
        <w:rPr>
          <w:rFonts w:ascii="Times New Roman" w:hAnsi="Times New Roman" w:cs="Times New Roman"/>
        </w:rPr>
        <w:t xml:space="preserve"> would likely rapidly reshape the system outside the envelope of the Long Present. These include:</w:t>
      </w:r>
    </w:p>
    <w:p w14:paraId="1F9F186E" w14:textId="1A182E1D" w:rsidR="009D0C74" w:rsidRPr="007C4B97" w:rsidRDefault="0009258A" w:rsidP="00AD2081">
      <w:pPr>
        <w:numPr>
          <w:ilvl w:val="0"/>
          <w:numId w:val="7"/>
        </w:numPr>
        <w:spacing w:after="0" w:line="480" w:lineRule="auto"/>
        <w:rPr>
          <w:rFonts w:ascii="Times New Roman" w:hAnsi="Times New Roman" w:cs="Times New Roman"/>
        </w:rPr>
      </w:pPr>
      <w:r w:rsidRPr="007C4B97">
        <w:rPr>
          <w:rFonts w:ascii="Times New Roman" w:hAnsi="Times New Roman" w:cs="Times New Roman"/>
        </w:rPr>
        <w:t>SIGNIFICANT GEOPOLITICAL REALIGNMENTS involving major oil producers and reshaping the trade network</w:t>
      </w:r>
      <w:r w:rsidR="00025757" w:rsidRPr="007C4B97">
        <w:rPr>
          <w:rFonts w:ascii="Times New Roman" w:hAnsi="Times New Roman" w:cs="Times New Roman"/>
        </w:rPr>
        <w:t xml:space="preserve"> and instability risks (e.g. an end to Western sanctions on Iran).</w:t>
      </w:r>
      <w:r w:rsidRPr="007C4B97">
        <w:rPr>
          <w:rFonts w:ascii="Times New Roman" w:hAnsi="Times New Roman" w:cs="Times New Roman"/>
        </w:rPr>
        <w:t xml:space="preserve"> </w:t>
      </w:r>
    </w:p>
    <w:p w14:paraId="3578FB72" w14:textId="05D7BE65" w:rsidR="009D0C74" w:rsidRPr="007C4B97" w:rsidRDefault="0009258A" w:rsidP="00AD2081">
      <w:pPr>
        <w:numPr>
          <w:ilvl w:val="0"/>
          <w:numId w:val="7"/>
        </w:numPr>
        <w:spacing w:after="0" w:line="480" w:lineRule="auto"/>
        <w:rPr>
          <w:rFonts w:ascii="Times New Roman" w:hAnsi="Times New Roman" w:cs="Times New Roman"/>
        </w:rPr>
      </w:pPr>
      <w:r w:rsidRPr="007C4B97">
        <w:rPr>
          <w:rFonts w:ascii="Times New Roman" w:hAnsi="Times New Roman" w:cs="Times New Roman"/>
        </w:rPr>
        <w:lastRenderedPageBreak/>
        <w:t xml:space="preserve">MAJOR CONFLICT, such as a war between the US and China, may substantially shift global demand, put major shipping routes at risk, and potentially change the trade network as </w:t>
      </w:r>
      <w:r w:rsidR="00AD2081" w:rsidRPr="007C4B97">
        <w:rPr>
          <w:rFonts w:ascii="Times New Roman" w:hAnsi="Times New Roman" w:cs="Times New Roman"/>
        </w:rPr>
        <w:t>well</w:t>
      </w:r>
      <w:r w:rsidRPr="007C4B97">
        <w:rPr>
          <w:rFonts w:ascii="Times New Roman" w:hAnsi="Times New Roman" w:cs="Times New Roman"/>
        </w:rPr>
        <w:t>.</w:t>
      </w:r>
    </w:p>
    <w:p w14:paraId="7D5302D3" w14:textId="3D9ECD04"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11" w:name="model-analysis"/>
      <w:r>
        <w:rPr>
          <w:rFonts w:ascii="Times New Roman" w:hAnsi="Times New Roman" w:cs="Times New Roman"/>
          <w:color w:val="auto"/>
          <w:sz w:val="28"/>
          <w:szCs w:val="24"/>
        </w:rPr>
        <w:t>Model Analysis</w:t>
      </w:r>
    </w:p>
    <w:bookmarkEnd w:id="11"/>
    <w:p w14:paraId="74A0649E" w14:textId="1A3E78E6" w:rsidR="009D0C74" w:rsidRPr="007C4B97" w:rsidRDefault="0009258A" w:rsidP="00AD2081">
      <w:pPr>
        <w:spacing w:after="0" w:line="480" w:lineRule="auto"/>
        <w:rPr>
          <w:rFonts w:ascii="Times New Roman" w:hAnsi="Times New Roman" w:cs="Times New Roman"/>
        </w:rPr>
      </w:pPr>
      <w:r w:rsidRPr="007C4B97">
        <w:rPr>
          <w:rFonts w:ascii="Times New Roman" w:hAnsi="Times New Roman" w:cs="Times New Roman"/>
        </w:rPr>
        <w:t>Each run of the model yields one simulated future</w:t>
      </w:r>
      <w:r w:rsidR="00BC6723" w:rsidRPr="007C4B97">
        <w:rPr>
          <w:rFonts w:ascii="Times New Roman" w:hAnsi="Times New Roman" w:cs="Times New Roman"/>
        </w:rPr>
        <w:t xml:space="preserve"> scenario</w:t>
      </w:r>
      <w:r w:rsidR="00D81AD8" w:rsidRPr="007C4B97">
        <w:rPr>
          <w:rFonts w:ascii="Times New Roman" w:hAnsi="Times New Roman" w:cs="Times New Roman"/>
        </w:rPr>
        <w:t xml:space="preserve"> – one possible alternative outcome.</w:t>
      </w:r>
      <w:r w:rsidRPr="007C4B97">
        <w:rPr>
          <w:rFonts w:ascii="Times New Roman" w:hAnsi="Times New Roman" w:cs="Times New Roman"/>
        </w:rPr>
        <w:t xml:space="preserve"> </w:t>
      </w:r>
      <w:r w:rsidR="00D81AD8" w:rsidRPr="007C4B97">
        <w:rPr>
          <w:rFonts w:ascii="Times New Roman" w:hAnsi="Times New Roman" w:cs="Times New Roman"/>
        </w:rPr>
        <w:t>Repeated runs yield a range of possible outcomes, which I analyze to estimate different potential energy security futures.</w:t>
      </w:r>
    </w:p>
    <w:p w14:paraId="3F739EC0" w14:textId="7CB391D7" w:rsidR="004B5583" w:rsidRPr="007C4B97" w:rsidRDefault="00DC0688" w:rsidP="004B5583">
      <w:pPr>
        <w:pStyle w:val="Heading3"/>
        <w:spacing w:before="0" w:line="480" w:lineRule="auto"/>
        <w:rPr>
          <w:rFonts w:ascii="Times New Roman" w:hAnsi="Times New Roman" w:cs="Times New Roman"/>
          <w:color w:val="auto"/>
          <w:sz w:val="24"/>
          <w:szCs w:val="24"/>
        </w:rPr>
      </w:pPr>
      <w:bookmarkStart w:id="12" w:name="global-outcomes"/>
      <w:r>
        <w:rPr>
          <w:rFonts w:ascii="Times New Roman" w:hAnsi="Times New Roman" w:cs="Times New Roman"/>
          <w:color w:val="auto"/>
          <w:sz w:val="24"/>
          <w:szCs w:val="24"/>
        </w:rPr>
        <w:t>Global Outcomes</w:t>
      </w:r>
    </w:p>
    <w:p w14:paraId="5A1D9390" w14:textId="4230A475" w:rsidR="00917E36" w:rsidRPr="007C4B97" w:rsidRDefault="00D81AD8" w:rsidP="00917E36">
      <w:pPr>
        <w:spacing w:line="480" w:lineRule="auto"/>
        <w:rPr>
          <w:rFonts w:ascii="Times New Roman" w:hAnsi="Times New Roman"/>
        </w:rPr>
      </w:pPr>
      <w:r w:rsidRPr="007C4B97">
        <w:rPr>
          <w:rFonts w:ascii="Times New Roman" w:hAnsi="Times New Roman"/>
        </w:rPr>
        <w:tab/>
        <w:t>Overall, the peak of the distribution of estimated energy security metrics</w:t>
      </w:r>
      <w:r w:rsidR="00917E36" w:rsidRPr="007C4B97">
        <w:rPr>
          <w:rFonts w:ascii="Times New Roman" w:hAnsi="Times New Roman"/>
        </w:rPr>
        <w:t xml:space="preserve"> across all scenario-months</w:t>
      </w:r>
      <w:r w:rsidRPr="007C4B97">
        <w:rPr>
          <w:rFonts w:ascii="Times New Roman" w:hAnsi="Times New Roman"/>
        </w:rPr>
        <w:t xml:space="preserve"> is close to 1 – a balance betwe</w:t>
      </w:r>
      <w:r w:rsidR="00152DEC" w:rsidRPr="007C4B97">
        <w:rPr>
          <w:rFonts w:ascii="Times New Roman" w:hAnsi="Times New Roman"/>
        </w:rPr>
        <w:t>en supply and demand for secure</w:t>
      </w:r>
      <w:r w:rsidRPr="007C4B97">
        <w:rPr>
          <w:rFonts w:ascii="Times New Roman" w:hAnsi="Times New Roman"/>
        </w:rPr>
        <w:t xml:space="preserve"> crude oil. This is comforting, both in terms of the model’s validity and its predictions: it does not anticipate massive future oil shocks.</w:t>
      </w:r>
      <w:r w:rsidR="007C4B1E" w:rsidRPr="007C4B97">
        <w:rPr>
          <w:rFonts w:ascii="Times New Roman" w:hAnsi="Times New Roman"/>
        </w:rPr>
        <w:t xml:space="preserve"> </w:t>
      </w:r>
      <w:r w:rsidR="00152DEC" w:rsidRPr="007C4B97">
        <w:rPr>
          <w:rFonts w:ascii="Times New Roman" w:hAnsi="Times New Roman"/>
        </w:rPr>
        <w:t>The model yields scenarios of both excesses and shortfalls in secure supply compared to demand, but not in equal proportions – supply shortfalls are more likely, and more ext</w:t>
      </w:r>
      <w:r w:rsidR="00917E36" w:rsidRPr="007C4B97">
        <w:rPr>
          <w:rFonts w:ascii="Times New Roman" w:hAnsi="Times New Roman"/>
        </w:rPr>
        <w:t xml:space="preserve">reme, than major demand shocks. Specifically, global demand outpaces supply by a factor of 25% or more in XX% of scenario-months, while supply outpaces demand by the same factor only XX% of cases. More extremely, supply outpaces demand by 50% or more XX%, compared to XX% for vice versa. </w:t>
      </w:r>
      <w:bookmarkEnd w:id="12"/>
    </w:p>
    <w:p w14:paraId="29D9E814" w14:textId="063A565A" w:rsidR="00B61A55" w:rsidRPr="007C4B97" w:rsidRDefault="00917E36" w:rsidP="002135F0">
      <w:pPr>
        <w:spacing w:line="480" w:lineRule="auto"/>
        <w:rPr>
          <w:rFonts w:ascii="Times New Roman" w:hAnsi="Times New Roman"/>
        </w:rPr>
      </w:pPr>
      <w:r w:rsidRPr="007C4B97">
        <w:rPr>
          <w:rFonts w:ascii="Times New Roman" w:hAnsi="Times New Roman"/>
        </w:rPr>
        <w:tab/>
        <w:t xml:space="preserve">I also characterize the path each scenario takes across its 60-month run by examining the average </w:t>
      </w:r>
      <w:r w:rsidR="00A3786B" w:rsidRPr="007C4B97">
        <w:rPr>
          <w:rFonts w:ascii="Times New Roman" w:hAnsi="Times New Roman"/>
        </w:rPr>
        <w:t>demand-supply</w:t>
      </w:r>
      <w:r w:rsidRPr="007C4B97">
        <w:rPr>
          <w:rFonts w:ascii="Times New Roman" w:hAnsi="Times New Roman"/>
        </w:rPr>
        <w:t xml:space="preserve"> ratio, and its variance (how much it deviates from that average). There is only we</w:t>
      </w:r>
      <w:r w:rsidR="00A3786B" w:rsidRPr="007C4B97">
        <w:rPr>
          <w:rFonts w:ascii="Times New Roman" w:hAnsi="Times New Roman"/>
        </w:rPr>
        <w:t xml:space="preserve">ak correlation between the two: some scenarios see high ratios but low variance, where energy supplies are insecure but </w:t>
      </w:r>
      <w:r w:rsidR="00A3786B" w:rsidRPr="007C4B97">
        <w:rPr>
          <w:rFonts w:ascii="Times New Roman" w:hAnsi="Times New Roman"/>
          <w:i/>
        </w:rPr>
        <w:t>stably</w:t>
      </w:r>
      <w:r w:rsidR="00A3786B" w:rsidRPr="007C4B97">
        <w:rPr>
          <w:rFonts w:ascii="Times New Roman" w:hAnsi="Times New Roman"/>
        </w:rPr>
        <w:t xml:space="preserve"> insecure, while others see averages close to 1 but high variance, with wild swings between excess demand and excess supply.</w:t>
      </w:r>
    </w:p>
    <w:p w14:paraId="7375DD03" w14:textId="5CBA2408" w:rsidR="002135F0" w:rsidRPr="007C4B97" w:rsidRDefault="00DC0688" w:rsidP="002135F0">
      <w:pPr>
        <w:pStyle w:val="Heading4"/>
        <w:spacing w:line="480" w:lineRule="auto"/>
        <w:rPr>
          <w:rFonts w:ascii="Times New Roman" w:hAnsi="Times New Roman"/>
          <w:color w:val="auto"/>
        </w:rPr>
      </w:pPr>
      <w:r>
        <w:rPr>
          <w:rFonts w:ascii="Times New Roman" w:hAnsi="Times New Roman"/>
          <w:color w:val="auto"/>
        </w:rPr>
        <w:lastRenderedPageBreak/>
        <w:t>Effects of Contagion and Assistance</w:t>
      </w:r>
    </w:p>
    <w:p w14:paraId="070F5D2B" w14:textId="571F5B97" w:rsidR="002135F0" w:rsidRPr="007C4B97" w:rsidRDefault="002135F0" w:rsidP="002135F0">
      <w:pPr>
        <w:spacing w:line="480" w:lineRule="auto"/>
        <w:rPr>
          <w:rFonts w:ascii="Times New Roman" w:hAnsi="Times New Roman"/>
        </w:rPr>
      </w:pPr>
      <w:r w:rsidRPr="007C4B97">
        <w:rPr>
          <w:rFonts w:ascii="Times New Roman" w:hAnsi="Times New Roman"/>
        </w:rPr>
        <w:tab/>
        <w:t xml:space="preserve">I also compare the outcomes of simulations with the two variable drivers Contagion and Assistance turned on and off, and conclude that their effects exist, but are small in magnitude. Specifically, the possibility of conflict contagion increases the average ratio </w:t>
      </w:r>
      <w:r w:rsidR="005563E3" w:rsidRPr="007C4B97">
        <w:rPr>
          <w:rFonts w:ascii="Times New Roman" w:hAnsi="Times New Roman"/>
        </w:rPr>
        <w:t>by approximately 1</w:t>
      </w:r>
      <w:r w:rsidR="00EB7CFD" w:rsidRPr="007C4B97">
        <w:rPr>
          <w:rFonts w:ascii="Times New Roman" w:hAnsi="Times New Roman"/>
        </w:rPr>
        <w:t xml:space="preserve">%, </w:t>
      </w:r>
      <w:r w:rsidR="005563E3" w:rsidRPr="007C4B97">
        <w:rPr>
          <w:rFonts w:ascii="Times New Roman" w:hAnsi="Times New Roman"/>
        </w:rPr>
        <w:t>though it increases</w:t>
      </w:r>
      <w:r w:rsidR="00EB7CFD" w:rsidRPr="007C4B97">
        <w:rPr>
          <w:rFonts w:ascii="Times New Roman" w:hAnsi="Times New Roman"/>
        </w:rPr>
        <w:t xml:space="preserve"> the variance by 1</w:t>
      </w:r>
      <w:r w:rsidR="005563E3" w:rsidRPr="007C4B97">
        <w:rPr>
          <w:rFonts w:ascii="Times New Roman" w:hAnsi="Times New Roman"/>
        </w:rPr>
        <w:t>7</w:t>
      </w:r>
      <w:r w:rsidR="00EB7CFD" w:rsidRPr="007C4B97">
        <w:rPr>
          <w:rFonts w:ascii="Times New Roman" w:hAnsi="Times New Roman"/>
        </w:rPr>
        <w:t>%. It also increases the probability of a severe supply crisis</w:t>
      </w:r>
      <w:r w:rsidR="005563E3" w:rsidRPr="007C4B97">
        <w:rPr>
          <w:rFonts w:ascii="Times New Roman" w:hAnsi="Times New Roman"/>
        </w:rPr>
        <w:t>,</w:t>
      </w:r>
      <w:r w:rsidR="00EB7CFD" w:rsidRPr="007C4B97">
        <w:rPr>
          <w:rFonts w:ascii="Times New Roman" w:hAnsi="Times New Roman"/>
        </w:rPr>
        <w:t xml:space="preserve"> though the probability is still low, occurring in just </w:t>
      </w:r>
      <w:r w:rsidR="005563E3" w:rsidRPr="007C4B97">
        <w:rPr>
          <w:rFonts w:ascii="Times New Roman" w:hAnsi="Times New Roman"/>
        </w:rPr>
        <w:t>over</w:t>
      </w:r>
      <w:r w:rsidR="00EB7CFD" w:rsidRPr="007C4B97">
        <w:rPr>
          <w:rFonts w:ascii="Times New Roman" w:hAnsi="Times New Roman"/>
        </w:rPr>
        <w:t xml:space="preserve"> </w:t>
      </w:r>
      <w:r w:rsidR="005563E3" w:rsidRPr="007C4B97">
        <w:rPr>
          <w:rFonts w:ascii="Times New Roman" w:hAnsi="Times New Roman"/>
        </w:rPr>
        <w:t>1</w:t>
      </w:r>
      <w:r w:rsidR="00EB7CFD" w:rsidRPr="007C4B97">
        <w:rPr>
          <w:rFonts w:ascii="Times New Roman" w:hAnsi="Times New Roman"/>
        </w:rPr>
        <w:t>% of scenario-months. Note, of course, that this refers to the possibility of contagion overall – the risks posed by the contagion of a particular conflict in a particular region will vary, and may be significantly lower or higher.</w:t>
      </w:r>
    </w:p>
    <w:p w14:paraId="71D87BD8" w14:textId="095D569F" w:rsidR="00EB7CFD" w:rsidRPr="007C4B97" w:rsidRDefault="00EB7CFD" w:rsidP="002135F0">
      <w:pPr>
        <w:spacing w:line="480" w:lineRule="auto"/>
        <w:rPr>
          <w:rFonts w:ascii="Times New Roman" w:hAnsi="Times New Roman"/>
        </w:rPr>
      </w:pPr>
      <w:r w:rsidRPr="007C4B97">
        <w:rPr>
          <w:rFonts w:ascii="Times New Roman" w:hAnsi="Times New Roman"/>
        </w:rPr>
        <w:tab/>
      </w:r>
      <w:r w:rsidR="00560A2F" w:rsidRPr="007C4B97">
        <w:rPr>
          <w:rFonts w:ascii="Times New Roman" w:hAnsi="Times New Roman"/>
        </w:rPr>
        <w:t xml:space="preserve">When countries have the possibility of assisting others by rapid short-term production increases, </w:t>
      </w:r>
      <w:r w:rsidR="005563E3" w:rsidRPr="007C4B97">
        <w:rPr>
          <w:rFonts w:ascii="Times New Roman" w:hAnsi="Times New Roman"/>
        </w:rPr>
        <w:t xml:space="preserve">overall energy security is essentially unchanged. </w:t>
      </w:r>
      <w:r w:rsidR="00560A2F" w:rsidRPr="007C4B97">
        <w:rPr>
          <w:rFonts w:ascii="Times New Roman" w:hAnsi="Times New Roman"/>
        </w:rPr>
        <w:t xml:space="preserve">In other words, assistance may alleviate minor or temporary supply shortfalls, but </w:t>
      </w:r>
      <w:r w:rsidR="005563E3" w:rsidRPr="007C4B97">
        <w:rPr>
          <w:rFonts w:ascii="Times New Roman" w:hAnsi="Times New Roman"/>
        </w:rPr>
        <w:t>does not appear to have a broader impact</w:t>
      </w:r>
      <w:r w:rsidR="00560A2F" w:rsidRPr="007C4B97">
        <w:rPr>
          <w:rFonts w:ascii="Times New Roman" w:hAnsi="Times New Roman"/>
        </w:rPr>
        <w:t xml:space="preserve">. </w:t>
      </w:r>
      <w:r w:rsidR="005563E3" w:rsidRPr="007C4B97">
        <w:rPr>
          <w:rFonts w:ascii="Times New Roman" w:hAnsi="Times New Roman"/>
        </w:rPr>
        <w:t>Note that</w:t>
      </w:r>
      <w:r w:rsidR="00560A2F" w:rsidRPr="007C4B97">
        <w:rPr>
          <w:rFonts w:ascii="Times New Roman" w:hAnsi="Times New Roman"/>
        </w:rPr>
        <w:t xml:space="preserve"> </w:t>
      </w:r>
      <w:r w:rsidR="005563E3" w:rsidRPr="007C4B97">
        <w:rPr>
          <w:rFonts w:ascii="Times New Roman" w:hAnsi="Times New Roman"/>
        </w:rPr>
        <w:t>major supply</w:t>
      </w:r>
      <w:r w:rsidR="00560A2F" w:rsidRPr="007C4B97">
        <w:rPr>
          <w:rFonts w:ascii="Times New Roman" w:hAnsi="Times New Roman"/>
        </w:rPr>
        <w:t xml:space="preserve"> shocks are most likely to be caused by crises in precisely the countries capable of the largest short-term production increases, primarily </w:t>
      </w:r>
      <w:r w:rsidR="005563E3" w:rsidRPr="007C4B97">
        <w:rPr>
          <w:rFonts w:ascii="Times New Roman" w:hAnsi="Times New Roman"/>
        </w:rPr>
        <w:t>Saudi Arabia and its neighbors; if these countries are driving a supply shock, other countri</w:t>
      </w:r>
      <w:r w:rsidR="007C4B97" w:rsidRPr="007C4B97">
        <w:rPr>
          <w:rFonts w:ascii="Times New Roman" w:hAnsi="Times New Roman"/>
        </w:rPr>
        <w:t>es may not be able to increase production enough to counterbalance them.</w:t>
      </w:r>
      <w:r w:rsidRPr="007C4B97">
        <w:rPr>
          <w:rFonts w:ascii="Times New Roman" w:hAnsi="Times New Roman"/>
        </w:rPr>
        <w:t xml:space="preserve"> </w:t>
      </w:r>
    </w:p>
    <w:p w14:paraId="690B1F95" w14:textId="1D4A1F9A" w:rsidR="009D0C74" w:rsidRPr="007C4B97" w:rsidRDefault="00DC0688" w:rsidP="00AD2081">
      <w:pPr>
        <w:pStyle w:val="Heading3"/>
        <w:spacing w:before="0" w:line="480" w:lineRule="auto"/>
        <w:rPr>
          <w:rFonts w:ascii="Times New Roman" w:hAnsi="Times New Roman" w:cs="Times New Roman"/>
          <w:color w:val="auto"/>
          <w:sz w:val="24"/>
          <w:szCs w:val="24"/>
        </w:rPr>
      </w:pPr>
      <w:bookmarkStart w:id="13" w:name="country-specific-outcomes"/>
      <w:r>
        <w:rPr>
          <w:rFonts w:ascii="Times New Roman" w:hAnsi="Times New Roman" w:cs="Times New Roman"/>
          <w:color w:val="auto"/>
          <w:sz w:val="24"/>
          <w:szCs w:val="24"/>
        </w:rPr>
        <w:t>Country-Specific Outcomes</w:t>
      </w:r>
    </w:p>
    <w:bookmarkEnd w:id="13"/>
    <w:p w14:paraId="218AFAA0" w14:textId="228A4294" w:rsidR="002D4CFC" w:rsidRPr="007C4B97" w:rsidRDefault="00DC0688" w:rsidP="00F572CF">
      <w:pPr>
        <w:pStyle w:val="Heading4"/>
        <w:spacing w:line="480" w:lineRule="auto"/>
        <w:rPr>
          <w:rFonts w:ascii="Times New Roman" w:hAnsi="Times New Roman"/>
          <w:color w:val="auto"/>
        </w:rPr>
      </w:pPr>
      <w:r>
        <w:rPr>
          <w:rFonts w:ascii="Times New Roman" w:hAnsi="Times New Roman"/>
          <w:color w:val="auto"/>
        </w:rPr>
        <w:t>Supply Risk</w:t>
      </w:r>
    </w:p>
    <w:p w14:paraId="46E9CB2B" w14:textId="77777777" w:rsidR="00297F2B" w:rsidRDefault="00F572CF" w:rsidP="007C4B97">
      <w:pPr>
        <w:spacing w:line="480" w:lineRule="auto"/>
        <w:rPr>
          <w:rFonts w:ascii="Times New Roman" w:hAnsi="Times New Roman"/>
        </w:rPr>
      </w:pPr>
      <w:r w:rsidRPr="007C4B97">
        <w:rPr>
          <w:rFonts w:ascii="Times New Roman" w:hAnsi="Times New Roman"/>
        </w:rPr>
        <w:tab/>
        <w:t>Figure X, in Appendix A, shows the supply risk to each country in the model, across all the simulated scenarios; specifically, the darker the color, the greater the risk of a major supply disruption</w:t>
      </w:r>
      <w:r w:rsidR="007C4B97" w:rsidRPr="007C4B97">
        <w:rPr>
          <w:rFonts w:ascii="Times New Roman" w:hAnsi="Times New Roman"/>
        </w:rPr>
        <w:t xml:space="preserve">. Not surprisingly, we note that the major oil producers appear to be at the least risk (not least due to their consumption of their own domestic production, reducing their reliance on imports), while the developed world faces comparatively higher risks. </w:t>
      </w:r>
      <w:r w:rsidR="007C4B97">
        <w:rPr>
          <w:rFonts w:ascii="Times New Roman" w:hAnsi="Times New Roman"/>
        </w:rPr>
        <w:t xml:space="preserve">Russia stands out as a </w:t>
      </w:r>
      <w:r w:rsidR="007C4B97">
        <w:rPr>
          <w:rFonts w:ascii="Times New Roman" w:hAnsi="Times New Roman"/>
        </w:rPr>
        <w:lastRenderedPageBreak/>
        <w:t xml:space="preserve">major oil producer that also faces significant supply risk. While it is certainly possible that this estimate is being driven by incomplete data on Russia’s notoriously opaque oil economy, </w:t>
      </w:r>
      <w:r w:rsidR="00A861F1">
        <w:rPr>
          <w:rFonts w:ascii="Times New Roman" w:hAnsi="Times New Roman"/>
        </w:rPr>
        <w:t xml:space="preserve">it may also be evidence that Russia’s oil imports are tied as much to geopolitical considerations as to a secure energy supply. </w:t>
      </w:r>
    </w:p>
    <w:p w14:paraId="0293223D" w14:textId="635223D2" w:rsidR="00F572CF" w:rsidRDefault="00A861F1" w:rsidP="00B6591C">
      <w:pPr>
        <w:spacing w:line="480" w:lineRule="auto"/>
        <w:ind w:firstLine="720"/>
        <w:rPr>
          <w:rFonts w:ascii="Times New Roman" w:hAnsi="Times New Roman"/>
        </w:rPr>
      </w:pPr>
      <w:r>
        <w:rPr>
          <w:rFonts w:ascii="Times New Roman" w:hAnsi="Times New Roman"/>
        </w:rPr>
        <w:t xml:space="preserve">We also notice that much of the ‘Global South’ appears more vulnerable to supply shocks than much of the developed world. These countries are likely to have less diversified </w:t>
      </w:r>
      <w:r w:rsidR="00297F2B">
        <w:rPr>
          <w:rFonts w:ascii="Times New Roman" w:hAnsi="Times New Roman"/>
        </w:rPr>
        <w:t>oil imports, and even the ones endowed with significant oil of their own (such as Brazil) may not be able to satisfy growing domestic demand with domestic production. When these countries are more fragile economically and politically, major oil shocks have the risk of having a greater impact on their political stability and human security, potentially triggering additional crises and further cascading instability.</w:t>
      </w:r>
    </w:p>
    <w:p w14:paraId="3D900244" w14:textId="14332267" w:rsidR="00B6591C" w:rsidRPr="00B6591C" w:rsidRDefault="00DC0688" w:rsidP="00B6591C">
      <w:pPr>
        <w:pStyle w:val="Heading4"/>
        <w:spacing w:line="480" w:lineRule="auto"/>
        <w:rPr>
          <w:rFonts w:ascii="Times New Roman" w:hAnsi="Times New Roman"/>
          <w:color w:val="auto"/>
        </w:rPr>
      </w:pPr>
      <w:r>
        <w:rPr>
          <w:rFonts w:ascii="Times New Roman" w:hAnsi="Times New Roman"/>
          <w:color w:val="auto"/>
        </w:rPr>
        <w:t>Demand Risk</w:t>
      </w:r>
    </w:p>
    <w:p w14:paraId="002C60D7" w14:textId="5290E00C" w:rsidR="00B6591C" w:rsidRDefault="00B6591C" w:rsidP="00B6591C">
      <w:pPr>
        <w:spacing w:after="0" w:line="480" w:lineRule="auto"/>
        <w:ind w:firstLine="720"/>
        <w:rPr>
          <w:rFonts w:ascii="Times New Roman" w:hAnsi="Times New Roman" w:cs="Times New Roman"/>
        </w:rPr>
      </w:pPr>
      <w:r>
        <w:rPr>
          <w:rFonts w:ascii="Times New Roman" w:hAnsi="Times New Roman" w:cs="Times New Roman"/>
        </w:rPr>
        <w:t xml:space="preserve">The first thing we notice examining Figure X, the visualization of Demand Risk by country, is that it is overall lower than supply risk. This should not be surprising, as fewer countries are major oil exporters. The risk to the major Persian Gulf producers appears low – they are wide exporters, and many of their largest trading partners are relatively stable developed nations. Interestingly, the major non-US producers in the Americas, Canada, Mexico and Venezuela, all have relatively high risk. This appears to be driven by the disproportionate fraction of their exports purchased by the United States. While the US is relatively stable, any disruption of US demand would have a disproportionate impact on these countries. Note that Russia’s demand risk is relatively low – an important finding in light of the outsize importance of energy </w:t>
      </w:r>
      <w:r w:rsidR="00281595">
        <w:rPr>
          <w:rFonts w:ascii="Times New Roman" w:hAnsi="Times New Roman" w:cs="Times New Roman"/>
        </w:rPr>
        <w:t>exports to</w:t>
      </w:r>
      <w:r>
        <w:rPr>
          <w:rFonts w:ascii="Times New Roman" w:hAnsi="Times New Roman" w:cs="Times New Roman"/>
        </w:rPr>
        <w:t xml:space="preserve"> the Russian economy.</w:t>
      </w:r>
    </w:p>
    <w:p w14:paraId="4F0BA25C" w14:textId="77777777" w:rsidR="00B6591C" w:rsidRDefault="00B6591C" w:rsidP="00B6591C">
      <w:pPr>
        <w:spacing w:after="0" w:line="480" w:lineRule="auto"/>
        <w:ind w:firstLine="720"/>
        <w:rPr>
          <w:rFonts w:ascii="Times New Roman" w:hAnsi="Times New Roman" w:cs="Times New Roman"/>
        </w:rPr>
      </w:pPr>
    </w:p>
    <w:p w14:paraId="2BABFDB1" w14:textId="77777777" w:rsidR="00B6591C" w:rsidRPr="007C4B97" w:rsidRDefault="00B6591C" w:rsidP="00B6591C">
      <w:pPr>
        <w:spacing w:after="0" w:line="480" w:lineRule="auto"/>
        <w:ind w:firstLine="720"/>
        <w:rPr>
          <w:rFonts w:ascii="Times New Roman" w:hAnsi="Times New Roman" w:cs="Times New Roman"/>
        </w:rPr>
      </w:pPr>
    </w:p>
    <w:p w14:paraId="645C292E" w14:textId="77777777" w:rsidR="009D0C74" w:rsidRPr="00DC0688" w:rsidRDefault="0009258A" w:rsidP="00D442D1">
      <w:pPr>
        <w:pStyle w:val="Heading1"/>
        <w:rPr>
          <w:rFonts w:ascii="Times New Roman" w:hAnsi="Times New Roman"/>
          <w:color w:val="auto"/>
          <w:sz w:val="32"/>
        </w:rPr>
      </w:pPr>
      <w:bookmarkStart w:id="14" w:name="policy-recommendations"/>
      <w:r w:rsidRPr="00DC0688">
        <w:rPr>
          <w:rFonts w:ascii="Times New Roman" w:hAnsi="Times New Roman"/>
          <w:color w:val="auto"/>
          <w:sz w:val="32"/>
        </w:rPr>
        <w:t>POLICY RECOMMENDATIONS</w:t>
      </w:r>
    </w:p>
    <w:p w14:paraId="26CB2E7A" w14:textId="08BB971F" w:rsidR="00D442D1" w:rsidRPr="00DC0688" w:rsidRDefault="00D442D1" w:rsidP="00DC0688">
      <w:pPr>
        <w:pStyle w:val="Heading2"/>
        <w:spacing w:line="480" w:lineRule="auto"/>
        <w:rPr>
          <w:rFonts w:ascii="Times New Roman" w:hAnsi="Times New Roman"/>
          <w:color w:val="auto"/>
          <w:sz w:val="28"/>
        </w:rPr>
      </w:pPr>
      <w:r w:rsidRPr="00DC0688">
        <w:rPr>
          <w:rFonts w:ascii="Times New Roman" w:hAnsi="Times New Roman"/>
          <w:color w:val="auto"/>
          <w:sz w:val="28"/>
        </w:rPr>
        <w:t>General Conclusions</w:t>
      </w:r>
    </w:p>
    <w:bookmarkEnd w:id="14"/>
    <w:p w14:paraId="7D3DF5F8" w14:textId="50712483" w:rsidR="00CF5A58" w:rsidRDefault="00EF05B4" w:rsidP="00DC0688">
      <w:pPr>
        <w:numPr>
          <w:ilvl w:val="0"/>
          <w:numId w:val="8"/>
        </w:numPr>
        <w:spacing w:after="0" w:line="480" w:lineRule="auto"/>
        <w:rPr>
          <w:rFonts w:ascii="Times New Roman" w:hAnsi="Times New Roman" w:cs="Times New Roman"/>
        </w:rPr>
      </w:pPr>
      <w:r>
        <w:rPr>
          <w:rFonts w:ascii="Times New Roman" w:hAnsi="Times New Roman" w:cs="Times New Roman"/>
        </w:rPr>
        <w:t>Under present conditions, global energy security is likely to remain stable</w:t>
      </w:r>
    </w:p>
    <w:p w14:paraId="1F929F17" w14:textId="0459D365" w:rsidR="00EF05B4" w:rsidRDefault="00EF05B4" w:rsidP="00DC0688">
      <w:pPr>
        <w:numPr>
          <w:ilvl w:val="1"/>
          <w:numId w:val="8"/>
        </w:numPr>
        <w:spacing w:after="0" w:line="480" w:lineRule="auto"/>
        <w:rPr>
          <w:rFonts w:ascii="Times New Roman" w:hAnsi="Times New Roman" w:cs="Times New Roman"/>
        </w:rPr>
      </w:pPr>
      <w:r>
        <w:rPr>
          <w:rFonts w:ascii="Times New Roman" w:hAnsi="Times New Roman" w:cs="Times New Roman"/>
        </w:rPr>
        <w:t>However, policymakers must prepare for low-probability, high-impact contingencies.</w:t>
      </w:r>
    </w:p>
    <w:p w14:paraId="2A03CBC3" w14:textId="6150C31B" w:rsidR="00EF05B4" w:rsidRDefault="00EF05B4" w:rsidP="00EF05B4">
      <w:pPr>
        <w:numPr>
          <w:ilvl w:val="1"/>
          <w:numId w:val="8"/>
        </w:numPr>
        <w:spacing w:after="0" w:line="480" w:lineRule="auto"/>
        <w:rPr>
          <w:rFonts w:ascii="Times New Roman" w:hAnsi="Times New Roman" w:cs="Times New Roman"/>
        </w:rPr>
      </w:pPr>
      <w:r>
        <w:rPr>
          <w:rFonts w:ascii="Times New Roman" w:hAnsi="Times New Roman" w:cs="Times New Roman"/>
        </w:rPr>
        <w:t>The spare production capacity maintained by the Gulf states cannot mitigate extreme supply shocks.</w:t>
      </w:r>
    </w:p>
    <w:p w14:paraId="66C7793E" w14:textId="6EA598C3" w:rsidR="00D442D1" w:rsidRDefault="00D442D1" w:rsidP="00EF05B4">
      <w:pPr>
        <w:numPr>
          <w:ilvl w:val="1"/>
          <w:numId w:val="8"/>
        </w:numPr>
        <w:spacing w:after="0" w:line="480" w:lineRule="auto"/>
        <w:rPr>
          <w:rFonts w:ascii="Times New Roman" w:hAnsi="Times New Roman" w:cs="Times New Roman"/>
        </w:rPr>
      </w:pPr>
      <w:r>
        <w:rPr>
          <w:rFonts w:ascii="Times New Roman" w:hAnsi="Times New Roman" w:cs="Times New Roman"/>
        </w:rPr>
        <w:t>Conflict contagion as a general phenomenon does not pose a significant risk to energy security.</w:t>
      </w:r>
    </w:p>
    <w:p w14:paraId="4C9A94F1" w14:textId="2CA94555" w:rsidR="00EF05B4" w:rsidRDefault="00EF05B4" w:rsidP="00EF05B4">
      <w:pPr>
        <w:numPr>
          <w:ilvl w:val="0"/>
          <w:numId w:val="8"/>
        </w:numPr>
        <w:spacing w:after="0" w:line="480" w:lineRule="auto"/>
        <w:rPr>
          <w:rFonts w:ascii="Times New Roman" w:hAnsi="Times New Roman" w:cs="Times New Roman"/>
        </w:rPr>
      </w:pPr>
      <w:r>
        <w:rPr>
          <w:rFonts w:ascii="Times New Roman" w:hAnsi="Times New Roman" w:cs="Times New Roman"/>
        </w:rPr>
        <w:t xml:space="preserve">Consumption of domestic production provides strong protection from exogenous oil shocks, even in the absence of energy independence. </w:t>
      </w:r>
    </w:p>
    <w:p w14:paraId="1A88C790" w14:textId="3C8A2C09" w:rsidR="00D442D1" w:rsidRDefault="00D442D1" w:rsidP="00EF05B4">
      <w:pPr>
        <w:numPr>
          <w:ilvl w:val="0"/>
          <w:numId w:val="8"/>
        </w:numPr>
        <w:spacing w:after="0" w:line="480" w:lineRule="auto"/>
        <w:rPr>
          <w:rFonts w:ascii="Times New Roman" w:hAnsi="Times New Roman" w:cs="Times New Roman"/>
        </w:rPr>
      </w:pPr>
      <w:r>
        <w:rPr>
          <w:rFonts w:ascii="Times New Roman" w:hAnsi="Times New Roman" w:cs="Times New Roman"/>
        </w:rPr>
        <w:t>Diversity of both imports and export partners is critical to energy security.</w:t>
      </w:r>
    </w:p>
    <w:p w14:paraId="5C2DB71A" w14:textId="7ED7EC3E" w:rsidR="00D442D1" w:rsidRPr="00DC0688" w:rsidRDefault="00D442D1" w:rsidP="00DC0688">
      <w:pPr>
        <w:pStyle w:val="Heading2"/>
        <w:spacing w:line="480" w:lineRule="auto"/>
        <w:rPr>
          <w:rFonts w:ascii="Times New Roman" w:hAnsi="Times New Roman"/>
          <w:color w:val="auto"/>
          <w:sz w:val="28"/>
        </w:rPr>
      </w:pPr>
      <w:r w:rsidRPr="00DC0688">
        <w:rPr>
          <w:rFonts w:ascii="Times New Roman" w:hAnsi="Times New Roman"/>
          <w:color w:val="auto"/>
          <w:sz w:val="28"/>
        </w:rPr>
        <w:t>Country-Specific Conclusions</w:t>
      </w:r>
    </w:p>
    <w:p w14:paraId="77728151" w14:textId="77777777" w:rsidR="00D442D1" w:rsidRDefault="00D442D1" w:rsidP="00DC0688">
      <w:pPr>
        <w:pStyle w:val="ListParagraph"/>
        <w:numPr>
          <w:ilvl w:val="0"/>
          <w:numId w:val="9"/>
        </w:numPr>
      </w:pPr>
    </w:p>
    <w:p w14:paraId="3C8F156A" w14:textId="77777777" w:rsidR="00D442D1" w:rsidRPr="00D442D1" w:rsidRDefault="00D442D1" w:rsidP="00D442D1">
      <w:bookmarkStart w:id="15" w:name="_GoBack"/>
      <w:bookmarkEnd w:id="15"/>
    </w:p>
    <w:p w14:paraId="1BC81B2E" w14:textId="77777777" w:rsidR="00D442D1" w:rsidRDefault="00D442D1" w:rsidP="00D442D1">
      <w:pPr>
        <w:spacing w:after="0" w:line="480" w:lineRule="auto"/>
        <w:rPr>
          <w:rFonts w:ascii="Times New Roman" w:hAnsi="Times New Roman" w:cs="Times New Roman"/>
        </w:rPr>
      </w:pPr>
    </w:p>
    <w:p w14:paraId="61E26B0C" w14:textId="77777777" w:rsidR="00D442D1" w:rsidRPr="00EF05B4" w:rsidRDefault="00D442D1" w:rsidP="00D442D1">
      <w:pPr>
        <w:spacing w:after="0" w:line="480" w:lineRule="auto"/>
        <w:rPr>
          <w:rFonts w:ascii="Times New Roman" w:hAnsi="Times New Roman" w:cs="Times New Roman"/>
        </w:rPr>
      </w:pPr>
    </w:p>
    <w:p w14:paraId="34A88EDF" w14:textId="77777777" w:rsidR="00CF5A58" w:rsidRPr="007C4B97" w:rsidRDefault="00CF5A58">
      <w:pPr>
        <w:rPr>
          <w:rFonts w:ascii="Times New Roman" w:hAnsi="Times New Roman" w:cs="Times New Roman"/>
        </w:rPr>
      </w:pPr>
      <w:r w:rsidRPr="007C4B97">
        <w:rPr>
          <w:rFonts w:ascii="Times New Roman" w:hAnsi="Times New Roman" w:cs="Times New Roman"/>
        </w:rPr>
        <w:br w:type="page"/>
      </w:r>
    </w:p>
    <w:p w14:paraId="3F53B00B" w14:textId="118860ED" w:rsidR="00CF5A58" w:rsidRPr="007C4B97" w:rsidRDefault="00CF5A58" w:rsidP="00CF5A58">
      <w:pPr>
        <w:pStyle w:val="Heading1"/>
        <w:spacing w:before="0" w:line="480" w:lineRule="auto"/>
        <w:rPr>
          <w:rFonts w:ascii="Times New Roman" w:hAnsi="Times New Roman" w:cs="Times New Roman"/>
          <w:color w:val="auto"/>
          <w:sz w:val="24"/>
          <w:szCs w:val="24"/>
        </w:rPr>
      </w:pPr>
      <w:r w:rsidRPr="007C4B97">
        <w:rPr>
          <w:rFonts w:ascii="Times New Roman" w:hAnsi="Times New Roman" w:cs="Times New Roman"/>
          <w:color w:val="auto"/>
          <w:sz w:val="24"/>
          <w:szCs w:val="24"/>
        </w:rPr>
        <w:lastRenderedPageBreak/>
        <w:t>BIBLIOGRAPHY</w:t>
      </w:r>
    </w:p>
    <w:p w14:paraId="65FC0CEA" w14:textId="77777777" w:rsidR="00CF5A58" w:rsidRPr="007C4B97" w:rsidRDefault="00CF5A58" w:rsidP="00CF5A58">
      <w:pPr>
        <w:rPr>
          <w:rFonts w:ascii="Times New Roman" w:hAnsi="Times New Roman"/>
        </w:rPr>
      </w:pPr>
    </w:p>
    <w:p w14:paraId="147577E1"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Black, Nathan. 2013. “When Have Violent Civil Conflicts Spread? Introducing a Dataset of Substate Conflict Contagion.” </w:t>
      </w:r>
      <w:r w:rsidRPr="007C4B97">
        <w:rPr>
          <w:rFonts w:ascii="Times New Roman" w:hAnsi="Times New Roman" w:cs="Times New Roman"/>
          <w:i/>
          <w:iCs/>
        </w:rPr>
        <w:t>Journal of Peace Research</w:t>
      </w:r>
      <w:r w:rsidRPr="007C4B97">
        <w:rPr>
          <w:rFonts w:ascii="Times New Roman" w:hAnsi="Times New Roman" w:cs="Times New Roman"/>
        </w:rPr>
        <w:t xml:space="preserve"> 50 (6) (November 1): 751–759. doi:10.1177/0022343313493634.</w:t>
      </w:r>
    </w:p>
    <w:p w14:paraId="7984BB1E" w14:textId="096579AD"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Cioffi-Revilla, Claudio, and Manus I. Midlarsky. “Powe Laws, Scaling, and Fractals in the Most Lethal International and Civil Wars.” In </w:t>
      </w:r>
      <w:r w:rsidRPr="007C4B97">
        <w:rPr>
          <w:rFonts w:ascii="Times New Roman" w:hAnsi="Times New Roman" w:cs="Times New Roman"/>
          <w:i/>
          <w:iCs/>
        </w:rPr>
        <w:t>The Scourge of War: New Extensions on an Old Problem</w:t>
      </w:r>
      <w:r w:rsidRPr="007C4B97">
        <w:rPr>
          <w:rFonts w:ascii="Times New Roman" w:hAnsi="Times New Roman" w:cs="Times New Roman"/>
        </w:rPr>
        <w:t>, edited by Paul Francis Diehl.</w:t>
      </w:r>
    </w:p>
    <w:p w14:paraId="740B5991" w14:textId="2668368E"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Hendrix, Cullen S., and Idean Salehyan. 2013. </w:t>
      </w:r>
      <w:r w:rsidRPr="007C4B97">
        <w:rPr>
          <w:rFonts w:ascii="Times New Roman" w:hAnsi="Times New Roman" w:cs="Times New Roman"/>
          <w:i/>
          <w:iCs/>
        </w:rPr>
        <w:t>Social Conflict in Africa Database (SCAD)</w:t>
      </w:r>
      <w:r w:rsidRPr="007C4B97">
        <w:rPr>
          <w:rFonts w:ascii="Times New Roman" w:hAnsi="Times New Roman" w:cs="Times New Roman"/>
        </w:rPr>
        <w:t>. www.scaddata.org.</w:t>
      </w:r>
    </w:p>
    <w:p w14:paraId="727810A0"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Daya, Ayesha. 2013. “Saudi Arabia Can Raise Output 25% If Needed, Naimi Says.” </w:t>
      </w:r>
      <w:r w:rsidRPr="007C4B97">
        <w:rPr>
          <w:rFonts w:ascii="Times New Roman" w:hAnsi="Times New Roman" w:cs="Times New Roman"/>
          <w:i/>
          <w:iCs/>
        </w:rPr>
        <w:t>Bloomberg</w:t>
      </w:r>
      <w:r w:rsidRPr="007C4B97">
        <w:rPr>
          <w:rFonts w:ascii="Times New Roman" w:hAnsi="Times New Roman" w:cs="Times New Roman"/>
        </w:rPr>
        <w:t>. Accessed November 3. http://www.bloomberg.com/news/2012-03-20/saudi-arabia-can-increase-oil-output-25-if-needed-naimi-says.html.</w:t>
      </w:r>
    </w:p>
    <w:p w14:paraId="0322BB32"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Goldstone, Jack A., and Political Instability Task Force. 2005. </w:t>
      </w:r>
      <w:r w:rsidRPr="007C4B97">
        <w:rPr>
          <w:rFonts w:ascii="Times New Roman" w:hAnsi="Times New Roman" w:cs="Times New Roman"/>
          <w:i/>
          <w:iCs/>
        </w:rPr>
        <w:t>A Global Forecasting Model of Political Instability</w:t>
      </w:r>
      <w:r w:rsidRPr="007C4B97">
        <w:rPr>
          <w:rFonts w:ascii="Times New Roman" w:hAnsi="Times New Roman" w:cs="Times New Roman"/>
        </w:rPr>
        <w:t>. Political Instability Task Force. http://spptest2.gmu.edu/documents/PITF/PITFglobal.pdf.</w:t>
      </w:r>
    </w:p>
    <w:p w14:paraId="66742462"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Hamilton, James D. 2003. “What Is an Oil Shock?” </w:t>
      </w:r>
      <w:r w:rsidRPr="007C4B97">
        <w:rPr>
          <w:rFonts w:ascii="Times New Roman" w:hAnsi="Times New Roman" w:cs="Times New Roman"/>
          <w:i/>
          <w:iCs/>
        </w:rPr>
        <w:t>Journal of Econometrics</w:t>
      </w:r>
      <w:r w:rsidRPr="007C4B97">
        <w:rPr>
          <w:rFonts w:ascii="Times New Roman" w:hAnsi="Times New Roman" w:cs="Times New Roman"/>
        </w:rPr>
        <w:t xml:space="preserve"> 113 (2) (April): 363–398. doi:10.1016/S0304-4076(02)00207-5.</w:t>
      </w:r>
    </w:p>
    <w:p w14:paraId="10A4BECA" w14:textId="20626C41"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Jewell, Jessica, and International Energy Agency. 2011. “The IEA Model of Short-term Energy Security”. International Energy Agency.</w:t>
      </w:r>
    </w:p>
    <w:p w14:paraId="1B38072E"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Kilian, Lutz. 2008. “Exogenous Oil Supply Shocks: How Big Are They and How Much Do They Matter for the U.S. Economy?” </w:t>
      </w:r>
      <w:r w:rsidRPr="007C4B97">
        <w:rPr>
          <w:rFonts w:ascii="Times New Roman" w:hAnsi="Times New Roman" w:cs="Times New Roman"/>
          <w:i/>
          <w:iCs/>
        </w:rPr>
        <w:t>Review of Economics and Statistics</w:t>
      </w:r>
      <w:r w:rsidRPr="007C4B97">
        <w:rPr>
          <w:rFonts w:ascii="Times New Roman" w:hAnsi="Times New Roman" w:cs="Times New Roman"/>
        </w:rPr>
        <w:t xml:space="preserve"> 90 (2) (April 18): 216–240. doi:10.1162/rest.90.2.216.</w:t>
      </w:r>
    </w:p>
    <w:p w14:paraId="4F78213D"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lastRenderedPageBreak/>
        <w:t xml:space="preserve">Marshall, Monty G. 2008. “Fragility, Instability, and the Failure of States.” </w:t>
      </w:r>
      <w:r w:rsidRPr="007C4B97">
        <w:rPr>
          <w:rFonts w:ascii="Times New Roman" w:hAnsi="Times New Roman" w:cs="Times New Roman"/>
          <w:i/>
          <w:iCs/>
        </w:rPr>
        <w:t>Center For</w:t>
      </w:r>
      <w:r w:rsidRPr="007C4B97">
        <w:rPr>
          <w:rFonts w:ascii="Times New Roman" w:hAnsi="Times New Roman" w:cs="Times New Roman"/>
        </w:rPr>
        <w:t>. http://www.systemicpeace.org/CPA1Oct08.pdf.</w:t>
      </w:r>
    </w:p>
    <w:p w14:paraId="4E9FFD79" w14:textId="4E90CEB1"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Windrum ,Paul, Giorgio Fagiolo and Alessio Moneta. 2007. “Empirical Validation of Agent-Based Models: Alternatives and Prospects”. Text.Article. March 31. http://jasss.soc.surrey.ac.uk/10/2/8.html.</w:t>
      </w:r>
    </w:p>
    <w:p w14:paraId="6ACBDC67"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“Reviewing Agent-Based Modelling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United Nations Statistical Division. 2013. </w:t>
      </w:r>
      <w:r w:rsidRPr="007C4B97">
        <w:rPr>
          <w:rFonts w:ascii="Times New Roman" w:hAnsi="Times New Roman" w:cs="Times New Roman"/>
          <w:i/>
          <w:iCs/>
        </w:rPr>
        <w:t>COMTRADE</w:t>
      </w:r>
      <w:r w:rsidRPr="007C4B97">
        <w:rPr>
          <w:rFonts w:ascii="Times New Roman" w:hAnsi="Times New Roman" w:cs="Times New Roman"/>
        </w:rPr>
        <w:t>. http://comtrade.un.org/.</w:t>
      </w:r>
    </w:p>
    <w:p w14:paraId="293B7971" w14:textId="77777777" w:rsidR="00CF5A58" w:rsidRPr="007C4B97" w:rsidRDefault="00CF5A58" w:rsidP="00CF5A58">
      <w:pPr>
        <w:spacing w:after="0" w:line="480" w:lineRule="auto"/>
        <w:ind w:left="288" w:hanging="288"/>
        <w:rPr>
          <w:rFonts w:ascii="Times New Roman" w:hAnsi="Times New Roman" w:cs="Times New Roman"/>
        </w:rPr>
      </w:pPr>
      <w:r w:rsidRPr="007C4B97">
        <w:rPr>
          <w:rFonts w:ascii="Times New Roman" w:hAnsi="Times New Roman" w:cs="Times New Roman"/>
        </w:rPr>
        <w:t xml:space="preserve">Wu, Gang, Lan-Cui Liu, and Yi-Ming Wei. 2009. “Comparison of China’s Oil Import Risk: Results Based on Portfolio Theory and a Diversification Index Approach.” </w:t>
      </w:r>
      <w:r w:rsidRPr="007C4B97">
        <w:rPr>
          <w:rFonts w:ascii="Times New Roman" w:hAnsi="Times New Roman" w:cs="Times New Roman"/>
          <w:i/>
          <w:iCs/>
        </w:rPr>
        <w:t>Energy Policy</w:t>
      </w:r>
      <w:r w:rsidRPr="007C4B97">
        <w:rPr>
          <w:rFonts w:ascii="Times New Roman" w:hAnsi="Times New Roman" w:cs="Times New Roman"/>
        </w:rPr>
        <w:t xml:space="preserve"> 37 (9) (September): 3557–3565. doi:10.1016/j.enpol.2009.04.031.</w:t>
      </w:r>
    </w:p>
    <w:p w14:paraId="5447D17A" w14:textId="77777777" w:rsidR="009D0C74" w:rsidRPr="007C4B97" w:rsidRDefault="009D0C74" w:rsidP="00CF5A58">
      <w:pPr>
        <w:spacing w:after="0" w:line="480" w:lineRule="auto"/>
        <w:rPr>
          <w:rFonts w:ascii="Times New Roman" w:hAnsi="Times New Roman" w:cs="Times New Roman"/>
        </w:rPr>
      </w:pPr>
    </w:p>
    <w:sectPr w:rsidR="009D0C74" w:rsidRPr="007C4B97" w:rsidSect="006A45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A5A54" w14:textId="77777777" w:rsidR="00DC0688" w:rsidRDefault="00DC0688" w:rsidP="006A4552">
      <w:pPr>
        <w:spacing w:after="0"/>
      </w:pPr>
      <w:r>
        <w:separator/>
      </w:r>
    </w:p>
  </w:endnote>
  <w:endnote w:type="continuationSeparator" w:id="0">
    <w:p w14:paraId="25C7ED34" w14:textId="77777777" w:rsidR="00DC0688" w:rsidRDefault="00DC0688" w:rsidP="006A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E494F" w14:textId="77777777" w:rsidR="00DC0688" w:rsidRDefault="00DC0688"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5AD19" w14:textId="77777777" w:rsidR="00DC0688" w:rsidRDefault="00DC0688" w:rsidP="006A4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E39E" w14:textId="77777777" w:rsidR="00DC0688" w:rsidRDefault="00DC0688"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6911">
      <w:rPr>
        <w:rStyle w:val="PageNumber"/>
        <w:noProof/>
      </w:rPr>
      <w:t>1</w:t>
    </w:r>
    <w:r>
      <w:rPr>
        <w:rStyle w:val="PageNumber"/>
      </w:rPr>
      <w:fldChar w:fldCharType="end"/>
    </w:r>
  </w:p>
  <w:p w14:paraId="04C982CF" w14:textId="77777777" w:rsidR="00DC0688" w:rsidRDefault="00DC0688" w:rsidP="006A45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1486" w14:textId="77777777" w:rsidR="00DC0688" w:rsidRDefault="00DC0688" w:rsidP="006A4552">
      <w:pPr>
        <w:spacing w:after="0"/>
      </w:pPr>
      <w:r>
        <w:separator/>
      </w:r>
    </w:p>
  </w:footnote>
  <w:footnote w:type="continuationSeparator" w:id="0">
    <w:p w14:paraId="6FA6753A" w14:textId="77777777" w:rsidR="00DC0688" w:rsidRDefault="00DC0688" w:rsidP="006A455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7D47AB"/>
    <w:multiLevelType w:val="hybridMultilevel"/>
    <w:tmpl w:val="4E3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152DEC"/>
    <w:rsid w:val="001F456F"/>
    <w:rsid w:val="002135F0"/>
    <w:rsid w:val="00281595"/>
    <w:rsid w:val="00297F2B"/>
    <w:rsid w:val="002D4CFC"/>
    <w:rsid w:val="002D6911"/>
    <w:rsid w:val="0038392B"/>
    <w:rsid w:val="0039097F"/>
    <w:rsid w:val="003B063A"/>
    <w:rsid w:val="0040036D"/>
    <w:rsid w:val="00463E74"/>
    <w:rsid w:val="0047363B"/>
    <w:rsid w:val="004A0675"/>
    <w:rsid w:val="004B5583"/>
    <w:rsid w:val="004E29B3"/>
    <w:rsid w:val="005563E3"/>
    <w:rsid w:val="00560A2F"/>
    <w:rsid w:val="00590D07"/>
    <w:rsid w:val="005922D1"/>
    <w:rsid w:val="005C0A1D"/>
    <w:rsid w:val="006261DF"/>
    <w:rsid w:val="00645F4F"/>
    <w:rsid w:val="006623D8"/>
    <w:rsid w:val="00673A59"/>
    <w:rsid w:val="0068767A"/>
    <w:rsid w:val="006A4552"/>
    <w:rsid w:val="0072552B"/>
    <w:rsid w:val="007307F4"/>
    <w:rsid w:val="007809B4"/>
    <w:rsid w:val="00784D58"/>
    <w:rsid w:val="007C4B1E"/>
    <w:rsid w:val="007C4B97"/>
    <w:rsid w:val="00811196"/>
    <w:rsid w:val="00821FC2"/>
    <w:rsid w:val="0083798C"/>
    <w:rsid w:val="0087388E"/>
    <w:rsid w:val="008D6863"/>
    <w:rsid w:val="00917E36"/>
    <w:rsid w:val="009D0C74"/>
    <w:rsid w:val="00A3786B"/>
    <w:rsid w:val="00A861F1"/>
    <w:rsid w:val="00A875DC"/>
    <w:rsid w:val="00AA1BE9"/>
    <w:rsid w:val="00AA6374"/>
    <w:rsid w:val="00AB5B62"/>
    <w:rsid w:val="00AD2081"/>
    <w:rsid w:val="00B144C9"/>
    <w:rsid w:val="00B34C23"/>
    <w:rsid w:val="00B61A55"/>
    <w:rsid w:val="00B6591C"/>
    <w:rsid w:val="00B86B75"/>
    <w:rsid w:val="00BC48D5"/>
    <w:rsid w:val="00BC6723"/>
    <w:rsid w:val="00BE023E"/>
    <w:rsid w:val="00C36279"/>
    <w:rsid w:val="00CA1B38"/>
    <w:rsid w:val="00CF3D9F"/>
    <w:rsid w:val="00CF5A58"/>
    <w:rsid w:val="00D31486"/>
    <w:rsid w:val="00D442D1"/>
    <w:rsid w:val="00D81AD8"/>
    <w:rsid w:val="00DC0688"/>
    <w:rsid w:val="00DC6F57"/>
    <w:rsid w:val="00E315A3"/>
    <w:rsid w:val="00EB7CFD"/>
    <w:rsid w:val="00EF05B4"/>
    <w:rsid w:val="00F572CF"/>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 w:type="paragraph" w:styleId="ListParagraph">
    <w:name w:val="List Paragraph"/>
    <w:basedOn w:val="Normal"/>
    <w:rsid w:val="00EF05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 w:type="paragraph" w:styleId="ListParagraph">
    <w:name w:val="List Paragraph"/>
    <w:basedOn w:val="Normal"/>
    <w:rsid w:val="00EF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13</Pages>
  <Words>2772</Words>
  <Characters>15802</Characters>
  <Application>Microsoft Macintosh Word</Application>
  <DocSecurity>0</DocSecurity>
  <Lines>131</Lines>
  <Paragraphs>37</Paragraphs>
  <ScaleCrop>false</ScaleCrop>
  <Company/>
  <LinksUpToDate>false</LinksUpToDate>
  <CharactersWithSpaces>18537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16</cp:revision>
  <dcterms:created xsi:type="dcterms:W3CDTF">2013-11-21T21:32:00Z</dcterms:created>
  <dcterms:modified xsi:type="dcterms:W3CDTF">2013-12-08T16:58:00Z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