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left"/>
      </w:pPr>
      <w:r>
        <w:rPr>
          <w:b/>
          <w:sz w:val="44"/>
        </w:rPr>
        <w:t>GreenJobs Platform Rebuild for GreenJobs Ltd</w:t>
      </w:r>
    </w:p>
    <w:p>
      <w:r>
        <w:t>Version 1.0 · 2026-09-30</w:t>
      </w:r>
    </w:p>
    <w:tbl>
      <w:tblPr>
        <w:tblStyle w:val="TableGrid"/>
        <w:tblW w:type="auto" w:w="0"/>
        <w:tblLook w:firstColumn="1" w:firstRow="1" w:lastColumn="0" w:lastRow="0" w:noHBand="0" w:noVBand="1" w:val="04A0"/>
      </w:tblPr>
      <w:tblGrid>
        <w:gridCol w:w="4320"/>
        <w:gridCol w:w="4320"/>
      </w:tblGrid>
      <w:tr>
        <w:tc>
          <w:tcPr>
            <w:tcW w:type="dxa" w:w="4320"/>
          </w:tcPr>
          <w:p>
            <w:r>
              <w:rPr>
                <w:b/>
              </w:rPr>
              <w:t>Prepared for</w:t>
            </w:r>
          </w:p>
        </w:tc>
        <w:tc>
          <w:tcPr>
            <w:tcW w:type="dxa" w:w="4320"/>
          </w:tcPr>
          <w:p>
            <w:r>
              <w:t>Keith Molony, Managing Director, GreenJobs Ltd</w:t>
            </w:r>
          </w:p>
        </w:tc>
      </w:tr>
      <w:tr>
        <w:tc>
          <w:tcPr>
            <w:tcW w:type="dxa" w:w="4320"/>
          </w:tcPr>
          <w:p>
            <w:r>
              <w:rPr>
                <w:b/>
              </w:rPr>
              <w:t>Prepared by</w:t>
            </w:r>
          </w:p>
        </w:tc>
        <w:tc>
          <w:tcPr>
            <w:tcW w:type="dxa" w:w="4320"/>
          </w:tcPr>
          <w:p>
            <w:r>
              <w:t>Debanjan Mazumdar, Founder, ProdCraft</w:t>
            </w:r>
          </w:p>
        </w:tc>
      </w:tr>
      <w:tr>
        <w:tc>
          <w:tcPr>
            <w:tcW w:type="dxa" w:w="4320"/>
          </w:tcPr>
          <w:p>
            <w:r>
              <w:rPr>
                <w:b/>
              </w:rPr>
              <w:t>Date</w:t>
            </w:r>
          </w:p>
        </w:tc>
        <w:tc>
          <w:tcPr>
            <w:tcW w:type="dxa" w:w="4320"/>
          </w:tcPr>
          <w:p>
            <w:r>
              <w:t>30 September 2026</w:t>
            </w:r>
          </w:p>
        </w:tc>
      </w:tr>
    </w:tbl>
    <w:p>
      <w:r>
        <w:t>This proposal contains all of the details and costs regarding the scope of work, investment and terms for the GreenJobs job boards (greenjobs.ie and greenjobs.co.uk), as requested by Keith Molony.</w:t>
      </w:r>
    </w:p>
    <w:p>
      <w:r>
        <w:br w:type="page"/>
      </w:r>
    </w:p>
    <w:p>
      <w:pPr>
        <w:pStyle w:val="Heading1"/>
      </w:pPr>
      <w:r>
        <w:t>01. The Situation</w:t>
      </w:r>
    </w:p>
    <w:p>
      <w:pPr>
        <w:pStyle w:val="Heading2"/>
      </w:pPr>
      <w:r>
        <w:t>Problem: a 2008-era platform is holding back a business that has outgrown it.</w:t>
      </w:r>
    </w:p>
    <w:p>
      <w:r>
        <w:t>Hi Keith,</w:t>
      </w:r>
    </w:p>
    <w:p>
      <w:r>
        <w:t>I spent some time boiling down our conversations, your change document of 28 September and your two emails of 29 September into a list of areas where I think you need help. Here are what I believe to be the core problems:</w:t>
      </w:r>
    </w:p>
    <w:p>
      <w:r>
        <w:br w:type="page"/>
      </w:r>
    </w:p>
    <w:p>
      <w:pPr>
        <w:pStyle w:val="Heading1"/>
      </w:pPr>
      <w:r>
        <w:t>02. What It Is Costing You</w:t>
      </w:r>
    </w:p>
    <w:p>
      <w:pPr>
        <w:pStyle w:val="Heading2"/>
      </w:pPr>
      <w:r>
        <w:t>Four problems on the current setup.</w:t>
      </w:r>
    </w:p>
    <w:p>
      <w:pPr>
        <w:pStyle w:val="Heading3"/>
      </w:pPr>
      <w:r>
        <w:t>1. Paying a vendor every month with no leverage</w:t>
      </w:r>
    </w:p>
    <w:p>
      <w:r>
        <w:t>You pay Strategies a monthly fee for a hosted platform and wait 8 to 12 weeks for changes. You told me you are not convinced it is value for money and that you are considering moving off it.</w:t>
      </w:r>
    </w:p>
    <w:p>
      <w:pPr>
        <w:pStyle w:val="Heading3"/>
      </w:pPr>
      <w:r>
        <w:t>2. Invisible where candidates search</w:t>
      </w:r>
    </w:p>
    <w:p>
      <w:r>
        <w:t>Google JobPosting structured data is switched off on every job page, so none of your roles appear in Google for Jobs. Salary shows on only a third of Irish roles, so Premium postings do not get the reach the package promises.</w:t>
      </w:r>
    </w:p>
    <w:p>
      <w:pPr>
        <w:pStyle w:val="Heading3"/>
      </w:pPr>
      <w:r>
        <w:t>3. A slow, heavy site on a legacy stack</w:t>
      </w:r>
    </w:p>
    <w:p>
      <w:r>
        <w:t>Every visitor downloads about a megabyte of assets and a 190 KB page built on classic ASP, jQuery 1.11 and Internet Explorer 8 shims. Mobile visitors, the majority of job seekers, wait longest.</w:t>
      </w:r>
    </w:p>
    <w:p>
      <w:pPr>
        <w:pStyle w:val="Heading3"/>
      </w:pPr>
      <w:r>
        <w:t>4. Figures typed by hand, no dashboard</w:t>
      </w:r>
    </w:p>
    <w:p>
      <w:r>
        <w:t>Counts by county, sector and salary band are typed in and go stale, and you have no employer analytics or KPI view. Your site manager's first question was whether the stats update automatically.</w:t>
      </w:r>
    </w:p>
    <w:p>
      <w:r>
        <w:t>The following pages cover the full scope of the project we discussed, including investment. Let me know if you have any questions by emailing me at debanjan@prodcraft.fyi.</w:t>
      </w:r>
    </w:p>
    <w:p>
      <w:r>
        <w:t>Thanks,</w:t>
      </w:r>
    </w:p>
    <w:p>
      <w:r>
        <w:t>Debanjan</w:t>
      </w:r>
    </w:p>
    <w:p>
      <w:r>
        <w:br w:type="page"/>
      </w:r>
    </w:p>
    <w:p>
      <w:pPr>
        <w:pStyle w:val="Heading1"/>
      </w:pPr>
      <w:r>
        <w:t>03. What You Get</w:t>
      </w:r>
    </w:p>
    <w:p>
      <w:pPr>
        <w:pStyle w:val="Heading2"/>
      </w:pPr>
      <w:r>
        <w:t>A modern GreenJobs platform you own, with the integrations kept.</w:t>
      </w:r>
    </w:p>
    <w:p>
      <w:r>
        <w:t>My proposed solution to the problems above is as follows.</w:t>
      </w:r>
    </w:p>
    <w:p>
      <w:pPr>
        <w:pStyle w:val="Heading3"/>
      </w:pPr>
      <w:r>
        <w:t>1. Both editions rebuilt</w:t>
      </w:r>
    </w:p>
    <w:p>
      <w:r>
        <w:t>greenjobs.ie and greenjobs.co.uk as demonstrated at greenjobs-redesign.pages.dev: jobs board with filters, list, map and saved views; one page per role with JobPosting structured data; 14-sector taxonomy; salary insights and salary guide; career quiz; employers page with the Premium and Membership comparison and a live post-a-job preview; four SEO landing pages; KPI dashboard. All 100 completed items from your change document are included; the remaining 11 are applied the day you supply the input.</w:t>
      </w:r>
    </w:p>
    <w:p>
      <w:pPr>
        <w:pStyle w:val="Heading3"/>
      </w:pPr>
      <w:r>
        <w:t>2. Your own platform, off Strategies</w:t>
      </w:r>
    </w:p>
    <w:p>
      <w:r>
        <w:t>Admin posting console for GreenJobs staff; candidate accounts with stored CV, one-click apply, saved roles and email job alerts; Broadbean, Idibu and LogicMelon posting kept and verified by a daily test job; a recruiter CRM posting integration; full data export from Strategies; a 301 redirect for every indexed URL.</w:t>
      </w:r>
    </w:p>
    <w:p>
      <w:pPr>
        <w:pStyle w:val="Heading3"/>
      </w:pPr>
      <w:r>
        <w:t>3. Hosting that matches what Strategies gives you today</w:t>
      </w:r>
    </w:p>
    <w:p>
      <w:r>
        <w:t>99.9% uptime, daily backups with a tested restore each quarter, firewall, DDoS protection and SSL, 24/7 monitoring, EU data region, daily integration checks and a monthly report.</w:t>
      </w:r>
    </w:p>
    <w:p>
      <w:pPr>
        <w:pStyle w:val="Heading3"/>
      </w:pPr>
      <w:r>
        <w:t>4. Numbers that update themselves</w:t>
      </w:r>
    </w:p>
    <w:p>
      <w:r>
        <w:t>Every figure on the site is computed from the job data on every post, whether GreenJobs staff or a client uploads the ad.</w:t>
      </w:r>
    </w:p>
    <w:p>
      <w:r>
        <w:t>I consider this reasonably straightforward and am confident I can do an outstanding job here for you. If I was not, I would not have put together this proposal.</w:t>
      </w:r>
    </w:p>
    <w:p>
      <w:r>
        <w:br w:type="page"/>
      </w:r>
    </w:p>
    <w:p>
      <w:pPr>
        <w:pStyle w:val="Heading1"/>
      </w:pPr>
      <w:r>
        <w:t>04. Scope of Work</w:t>
      </w:r>
    </w:p>
    <w:p>
      <w:pPr>
        <w:pStyle w:val="Heading2"/>
      </w:pPr>
      <w:r>
        <w:t>What ProdCraft will build.</w:t>
      </w:r>
    </w:p>
    <w:p>
      <w:pPr>
        <w:pStyle w:val="ListBullet"/>
      </w:pPr>
      <w:r>
        <w:t>Deploy the IE and UK editions to greenjobs.ie and greenjobs.co.uk on Cloudflare, including all 100 completed change-document items and the two site-manager fixes, JobPosting structured data on every role, sitemaps, and redirects for the current URLs.</w:t>
      </w:r>
    </w:p>
    <w:p>
      <w:pPr>
        <w:pStyle w:val="ListBullet"/>
      </w:pPr>
      <w:r>
        <w:t>Build the platform: admin posting console, candidate accounts and job alerts, newsletter send, Broadbean / Idibu / LogicMelon posting endpoints with a daily test job, recruiter CRM posting integration, Strategies data export and import, 301 redirect map, analytics.</w:t>
      </w:r>
    </w:p>
    <w:p>
      <w:pPr>
        <w:pStyle w:val="ListBullet"/>
      </w:pPr>
      <w:r>
        <w:t>Run the new platform in parallel with Strategies for 30 days; move DNS only after every posting route passes and you sign off in writing.</w:t>
      </w:r>
    </w:p>
    <w:p>
      <w:pPr>
        <w:pStyle w:val="ListBullet"/>
      </w:pPr>
      <w:r>
        <w:t>Hand over a written runbook, the test register (3,047 automated checks) and the source repository; everything runs in accounts GreenJobs owns.</w:t>
      </w:r>
    </w:p>
    <w:p>
      <w:pPr>
        <w:pStyle w:val="Heading3"/>
      </w:pPr>
      <w:r>
        <w:t>Milestones</w:t>
      </w:r>
    </w:p>
    <w:p>
      <w:pPr>
        <w:pStyle w:val="ListBullet"/>
      </w:pPr>
      <w:r>
        <w:rPr>
          <w:b/>
        </w:rPr>
        <w:t>Month 1. Front end live.</w:t>
      </w:r>
      <w:r>
        <w:t xml:space="preserve"> Both editions live on your domains within 15 working days of signature. If it is not live by then for reasons within my control, you do not pay for it.</w:t>
      </w:r>
    </w:p>
    <w:p>
      <w:pPr>
        <w:pStyle w:val="ListBullet"/>
      </w:pPr>
      <w:r>
        <w:rPr>
          <w:b/>
        </w:rPr>
        <w:t>Month 2 to 3. Platform build and staging.</w:t>
      </w:r>
      <w:r>
        <w:t xml:space="preserve"> Posting console, accounts, alerts, integrations, data import, redirect map; staging acceptance with you and your site manager.</w:t>
      </w:r>
    </w:p>
    <w:p>
      <w:pPr>
        <w:pStyle w:val="ListBullet"/>
      </w:pPr>
      <w:r>
        <w:rPr>
          <w:b/>
        </w:rPr>
        <w:t>Month 3 to 4. Parallel run and go-live.</w:t>
      </w:r>
      <w:r>
        <w:t xml:space="preserve"> 30-day parallel run, then DNS cut-over and 10 working days of daily checks.</w:t>
      </w:r>
    </w:p>
    <w:p>
      <w:pPr>
        <w:pStyle w:val="ListBullet"/>
      </w:pPr>
      <w:r>
        <w:rPr>
          <w:b/>
        </w:rPr>
        <w:t>Throughout.</w:t>
      </w:r>
      <w:r>
        <w:t xml:space="preserve"> Weekly update, one business day response, 4-hour response to a posting outage, all work in your accounts so nothing is locked to me.</w:t>
      </w:r>
    </w:p>
    <w:p>
      <w:pPr>
        <w:pStyle w:val="Heading3"/>
      </w:pPr>
      <w:r>
        <w:t>Timeline</w:t>
      </w:r>
    </w:p>
    <w:p>
      <w:r>
        <w:t>My proposed timeline is pragmatic and takes into account past experience building similar systems. Assuming signature on Monday 6 October 2026:</w:t>
      </w:r>
    </w:p>
    <w:p>
      <w:pPr>
        <w:pStyle w:val="ListBullet"/>
      </w:pPr>
      <w:r>
        <w:t>Front end live on your domains: by Wednesday 28 October 2026 (15 working days)</w:t>
      </w:r>
    </w:p>
    <w:p>
      <w:pPr>
        <w:pStyle w:val="ListBullet"/>
      </w:pPr>
      <w:r>
        <w:t>Platform build and staging acceptance: 29 October to 18 December 2026</w:t>
      </w:r>
    </w:p>
    <w:p>
      <w:pPr>
        <w:pStyle w:val="ListBullet"/>
      </w:pPr>
      <w:r>
        <w:t>Parallel run alongside Strategies: 5 January to 3 February 2027</w:t>
      </w:r>
    </w:p>
    <w:p>
      <w:pPr>
        <w:pStyle w:val="ListBullet"/>
      </w:pPr>
      <w:r>
        <w:t>Go-live on the new platform: Tuesday 9 February 2027</w:t>
      </w:r>
    </w:p>
    <w:p>
      <w:r>
        <w:t>Dates move day for day with the signature date and with any input from GreenJobs that arrives late (Strategies contract details, which posting routes are in use, DNS access, logo permissions, testimonials, the open decisions from your change document). Broadbean onboarding runs on Broadbean's timeline.</w:t>
      </w:r>
    </w:p>
    <w:p>
      <w:r>
        <w:rPr>
          <w:b/>
        </w:rPr>
        <w:t>Out of scope:</w:t>
      </w:r>
      <w:r>
        <w:t xml:space="preserve"> employer self-service purchasing and card payment for job packages (GreenJobs staff post the ads); the other eight sites in the GreenJobs network; writing career-advice articles or market reports; paid advertising; any fees charged by Broadbean, Idibu, LogicMelon or Strategies. Anything else is quoted before it starts.</w:t>
      </w:r>
    </w:p>
    <w:p>
      <w:r>
        <w:br w:type="page"/>
      </w:r>
    </w:p>
    <w:p>
      <w:pPr>
        <w:pStyle w:val="Heading1"/>
      </w:pPr>
      <w:r>
        <w:t>05. Investment</w:t>
      </w:r>
    </w:p>
    <w:p>
      <w:pPr>
        <w:pStyle w:val="Heading2"/>
      </w:pPr>
      <w:r>
        <w:t>Your investment.</w:t>
      </w:r>
    </w:p>
    <w:p>
      <w:r>
        <w:t>Note: this is a two-step package with a 50% deposit and the remaining balance due on go-live. "Go-live" is defined as the fulfilment of the scope above, and the balance is only due upon full satisfaction with the project.</w:t>
      </w:r>
    </w:p>
    <w:tbl>
      <w:tblPr>
        <w:tblStyle w:val="TableGrid"/>
        <w:tblW w:type="auto" w:w="0"/>
        <w:jc w:val="left"/>
        <w:tblLook w:firstColumn="1" w:firstRow="1" w:lastColumn="0" w:lastRow="0" w:noHBand="0" w:noVBand="1" w:val="04A0"/>
      </w:tblPr>
      <w:tblGrid>
        <w:gridCol w:w="2160"/>
        <w:gridCol w:w="2160"/>
        <w:gridCol w:w="2160"/>
        <w:gridCol w:w="2160"/>
      </w:tblGrid>
      <w:tr>
        <w:tc>
          <w:tcPr>
            <w:tcW w:type="dxa" w:w="2160"/>
          </w:tcPr>
          <w:p>
            <w:r>
              <w:rPr>
                <w:b/>
              </w:rPr>
              <w:t>Name</w:t>
            </w:r>
          </w:p>
        </w:tc>
        <w:tc>
          <w:tcPr>
            <w:tcW w:type="dxa" w:w="2160"/>
          </w:tcPr>
          <w:p>
            <w:r>
              <w:rPr>
                <w:b/>
              </w:rPr>
              <w:t>Price</w:t>
            </w:r>
          </w:p>
        </w:tc>
        <w:tc>
          <w:tcPr>
            <w:tcW w:type="dxa" w:w="2160"/>
          </w:tcPr>
          <w:p>
            <w:r>
              <w:rPr>
                <w:b/>
              </w:rPr>
              <w:t>Qty</w:t>
            </w:r>
          </w:p>
        </w:tc>
        <w:tc>
          <w:tcPr>
            <w:tcW w:type="dxa" w:w="2160"/>
          </w:tcPr>
          <w:p>
            <w:r>
              <w:rPr>
                <w:b/>
              </w:rPr>
              <w:t>Subtotal</w:t>
            </w:r>
          </w:p>
        </w:tc>
      </w:tr>
      <w:tr>
        <w:tc>
          <w:tcPr>
            <w:tcW w:type="dxa" w:w="2160"/>
          </w:tcPr>
          <w:p>
            <w:r>
              <w:t>Front-end rebuild, greenjobs.ie and greenjobs.co.uk</w:t>
            </w:r>
          </w:p>
        </w:tc>
        <w:tc>
          <w:tcPr>
            <w:tcW w:type="dxa" w:w="2160"/>
          </w:tcPr>
          <w:p>
            <w:r>
              <w:t>€1,999</w:t>
            </w:r>
          </w:p>
        </w:tc>
        <w:tc>
          <w:tcPr>
            <w:tcW w:type="dxa" w:w="2160"/>
          </w:tcPr>
          <w:p>
            <w:r>
              <w:t>1</w:t>
            </w:r>
          </w:p>
        </w:tc>
        <w:tc>
          <w:tcPr>
            <w:tcW w:type="dxa" w:w="2160"/>
          </w:tcPr>
          <w:p>
            <w:r>
              <w:t>€1,999</w:t>
            </w:r>
          </w:p>
        </w:tc>
      </w:tr>
      <w:tr>
        <w:tc>
          <w:tcPr>
            <w:tcW w:type="dxa" w:w="2160"/>
          </w:tcPr>
          <w:p>
            <w:r>
              <w:t>Platform migration off Strategies</w:t>
            </w:r>
          </w:p>
        </w:tc>
        <w:tc>
          <w:tcPr>
            <w:tcW w:type="dxa" w:w="2160"/>
          </w:tcPr>
          <w:p>
            <w:r>
              <w:t>€2,999</w:t>
            </w:r>
          </w:p>
        </w:tc>
        <w:tc>
          <w:tcPr>
            <w:tcW w:type="dxa" w:w="2160"/>
          </w:tcPr>
          <w:p>
            <w:r>
              <w:t>1</w:t>
            </w:r>
          </w:p>
        </w:tc>
        <w:tc>
          <w:tcPr>
            <w:tcW w:type="dxa" w:w="2160"/>
          </w:tcPr>
          <w:p>
            <w:r>
              <w:t>€2,999</w:t>
            </w:r>
          </w:p>
        </w:tc>
      </w:tr>
      <w:tr>
        <w:tc>
          <w:tcPr>
            <w:tcW w:type="dxa" w:w="2160"/>
          </w:tcPr>
          <w:p>
            <w:r>
              <w:t>Total investment</w:t>
            </w:r>
          </w:p>
        </w:tc>
        <w:tc>
          <w:tcPr>
            <w:tcW w:type="dxa" w:w="2160"/>
          </w:tcPr>
          <w:p/>
        </w:tc>
        <w:tc>
          <w:tcPr>
            <w:tcW w:type="dxa" w:w="2160"/>
          </w:tcPr>
          <w:p/>
        </w:tc>
        <w:tc>
          <w:tcPr>
            <w:tcW w:type="dxa" w:w="2160"/>
          </w:tcPr>
          <w:p>
            <w:r>
              <w:t>€4,998</w:t>
            </w:r>
          </w:p>
        </w:tc>
      </w:tr>
      <w:tr>
        <w:tc>
          <w:tcPr>
            <w:tcW w:type="dxa" w:w="2160"/>
          </w:tcPr>
          <w:p>
            <w:r>
              <w:t>50% deposit, due at signing</w:t>
            </w:r>
          </w:p>
        </w:tc>
        <w:tc>
          <w:tcPr>
            <w:tcW w:type="dxa" w:w="2160"/>
          </w:tcPr>
          <w:p/>
        </w:tc>
        <w:tc>
          <w:tcPr>
            <w:tcW w:type="dxa" w:w="2160"/>
          </w:tcPr>
          <w:p/>
        </w:tc>
        <w:tc>
          <w:tcPr>
            <w:tcW w:type="dxa" w:w="2160"/>
          </w:tcPr>
          <w:p>
            <w:r>
              <w:t>€2,499</w:t>
            </w:r>
          </w:p>
        </w:tc>
      </w:tr>
      <w:tr>
        <w:tc>
          <w:tcPr>
            <w:tcW w:type="dxa" w:w="2160"/>
          </w:tcPr>
          <w:p>
            <w:r>
              <w:t>Balance, due on go-live</w:t>
            </w:r>
          </w:p>
        </w:tc>
        <w:tc>
          <w:tcPr>
            <w:tcW w:type="dxa" w:w="2160"/>
          </w:tcPr>
          <w:p/>
        </w:tc>
        <w:tc>
          <w:tcPr>
            <w:tcW w:type="dxa" w:w="2160"/>
          </w:tcPr>
          <w:p/>
        </w:tc>
        <w:tc>
          <w:tcPr>
            <w:tcW w:type="dxa" w:w="2160"/>
          </w:tcPr>
          <w:p>
            <w:r>
              <w:t>€2,499</w:t>
            </w:r>
          </w:p>
        </w:tc>
      </w:tr>
    </w:tbl>
    <w:p>
      <w:pPr>
        <w:pStyle w:val="Heading3"/>
      </w:pPr>
      <w:r>
        <w:t>Monthly hosting and support (starts when the front end goes live)</w:t>
      </w:r>
    </w:p>
    <w:tbl>
      <w:tblPr>
        <w:tblStyle w:val="TableGrid"/>
        <w:tblW w:type="auto" w:w="0"/>
        <w:jc w:val="left"/>
        <w:tblLook w:firstColumn="1" w:firstRow="1" w:lastColumn="0" w:lastRow="0" w:noHBand="0" w:noVBand="1" w:val="04A0"/>
      </w:tblPr>
      <w:tblGrid>
        <w:gridCol w:w="2880"/>
        <w:gridCol w:w="2880"/>
        <w:gridCol w:w="2880"/>
      </w:tblGrid>
      <w:tr>
        <w:tc>
          <w:tcPr>
            <w:tcW w:type="dxa" w:w="2880"/>
          </w:tcPr>
          <w:p>
            <w:r>
              <w:rPr>
                <w:b/>
              </w:rPr>
              <w:t>Plan</w:t>
            </w:r>
          </w:p>
        </w:tc>
        <w:tc>
          <w:tcPr>
            <w:tcW w:type="dxa" w:w="2880"/>
          </w:tcPr>
          <w:p>
            <w:r>
              <w:rPr>
                <w:b/>
              </w:rPr>
              <w:t>What it covers</w:t>
            </w:r>
          </w:p>
        </w:tc>
        <w:tc>
          <w:tcPr>
            <w:tcW w:type="dxa" w:w="2880"/>
          </w:tcPr>
          <w:p>
            <w:r>
              <w:rPr>
                <w:b/>
              </w:rPr>
              <w:t>Per month</w:t>
            </w:r>
          </w:p>
        </w:tc>
      </w:tr>
      <w:tr>
        <w:tc>
          <w:tcPr>
            <w:tcW w:type="dxa" w:w="2880"/>
          </w:tcPr>
          <w:p>
            <w:r>
              <w:t>Care</w:t>
            </w:r>
          </w:p>
        </w:tc>
        <w:tc>
          <w:tcPr>
            <w:tcW w:type="dxa" w:w="2880"/>
          </w:tcPr>
          <w:p>
            <w:r>
              <w:t>Hosting for both boards, SSL, daily backups, monitoring, security patches, up to 4 hours of changes, monthly report, 99.9% uptime guarantee</w:t>
            </w:r>
          </w:p>
        </w:tc>
        <w:tc>
          <w:tcPr>
            <w:tcW w:type="dxa" w:w="2880"/>
          </w:tcPr>
          <w:p>
            <w:r>
              <w:t>€499</w:t>
            </w:r>
          </w:p>
        </w:tc>
      </w:tr>
      <w:tr>
        <w:tc>
          <w:tcPr>
            <w:tcW w:type="dxa" w:w="2880"/>
          </w:tcPr>
          <w:p>
            <w:r>
              <w:t>Grow</w:t>
            </w:r>
          </w:p>
        </w:tc>
        <w:tc>
          <w:tcPr>
            <w:tcW w:type="dxa" w:w="2880"/>
          </w:tcPr>
          <w:p>
            <w:r>
              <w:t>Care plus 10 hours per month for SEO and content, newsletter send, employer analytics, new features from a shared backlog, quarterly review call</w:t>
            </w:r>
          </w:p>
        </w:tc>
        <w:tc>
          <w:tcPr>
            <w:tcW w:type="dxa" w:w="2880"/>
          </w:tcPr>
          <w:p>
            <w:r>
              <w:t>€699</w:t>
            </w:r>
          </w:p>
        </w:tc>
      </w:tr>
    </w:tbl>
    <w:p>
      <w:r>
        <w:rPr>
          <w:i/>
          <w:sz w:val="19"/>
        </w:rPr>
        <w:t>Pick one. Three-month minimum, then rolling monthly; cancel any time with 30 days' written notice. No lock-in.</w:t>
      </w:r>
    </w:p>
    <w:p>
      <w:pPr>
        <w:pStyle w:val="Heading3"/>
      </w:pPr>
      <w:r>
        <w:t>Tool subscriptions</w:t>
      </w:r>
    </w:p>
    <w:p>
      <w:r>
        <w:t>All subscriptions are in your name with full ownership. No vendor lock-in.</w:t>
      </w:r>
    </w:p>
    <w:tbl>
      <w:tblPr>
        <w:tblStyle w:val="TableGrid"/>
        <w:tblW w:type="auto" w:w="0"/>
        <w:jc w:val="left"/>
        <w:tblLook w:firstColumn="1" w:firstRow="1" w:lastColumn="0" w:lastRow="0" w:noHBand="0" w:noVBand="1" w:val="04A0"/>
      </w:tblPr>
      <w:tblGrid>
        <w:gridCol w:w="2880"/>
        <w:gridCol w:w="2880"/>
        <w:gridCol w:w="2880"/>
      </w:tblGrid>
      <w:tr>
        <w:tc>
          <w:tcPr>
            <w:tcW w:type="dxa" w:w="2880"/>
          </w:tcPr>
          <w:p>
            <w:r>
              <w:rPr>
                <w:b/>
              </w:rPr>
              <w:t>Tool</w:t>
            </w:r>
          </w:p>
        </w:tc>
        <w:tc>
          <w:tcPr>
            <w:tcW w:type="dxa" w:w="2880"/>
          </w:tcPr>
          <w:p>
            <w:r>
              <w:rPr>
                <w:b/>
              </w:rPr>
              <w:t>Purpose</w:t>
            </w:r>
          </w:p>
        </w:tc>
        <w:tc>
          <w:tcPr>
            <w:tcW w:type="dxa" w:w="2880"/>
          </w:tcPr>
          <w:p>
            <w:r>
              <w:rPr>
                <w:b/>
              </w:rPr>
              <w:t>Cost</w:t>
            </w:r>
          </w:p>
        </w:tc>
      </w:tr>
      <w:tr>
        <w:tc>
          <w:tcPr>
            <w:tcW w:type="dxa" w:w="2880"/>
          </w:tcPr>
          <w:p>
            <w:r>
              <w:t>Cloudflare Workers Paid plan</w:t>
            </w:r>
          </w:p>
        </w:tc>
        <w:tc>
          <w:tcPr>
            <w:tcW w:type="dxa" w:w="2880"/>
          </w:tcPr>
          <w:p>
            <w:r>
              <w:t>Hosting, database and storage for the platform</w:t>
            </w:r>
          </w:p>
        </w:tc>
        <w:tc>
          <w:tcPr>
            <w:tcW w:type="dxa" w:w="2880"/>
          </w:tcPr>
          <w:p>
            <w:r>
              <w:t>$5 per month</w:t>
            </w:r>
          </w:p>
        </w:tc>
      </w:tr>
      <w:tr>
        <w:tc>
          <w:tcPr>
            <w:tcW w:type="dxa" w:w="2880"/>
          </w:tcPr>
          <w:p>
            <w:r>
              <w:t>Resend (Pro)</w:t>
            </w:r>
          </w:p>
        </w:tc>
        <w:tc>
          <w:tcPr>
            <w:tcW w:type="dxa" w:w="2880"/>
          </w:tcPr>
          <w:p>
            <w:r>
              <w:t>Job alerts, newsletter and transactional email</w:t>
            </w:r>
          </w:p>
        </w:tc>
        <w:tc>
          <w:tcPr>
            <w:tcW w:type="dxa" w:w="2880"/>
          </w:tcPr>
          <w:p>
            <w:r>
              <w:t>$20 per month</w:t>
            </w:r>
          </w:p>
        </w:tc>
      </w:tr>
      <w:tr>
        <w:tc>
          <w:tcPr>
            <w:tcW w:type="dxa" w:w="2880"/>
          </w:tcPr>
          <w:p>
            <w:r>
              <w:t>Domains and DNS</w:t>
            </w:r>
          </w:p>
        </w:tc>
        <w:tc>
          <w:tcPr>
            <w:tcW w:type="dxa" w:w="2880"/>
          </w:tcPr>
          <w:p>
            <w:r>
              <w:t>greenjobs.ie and greenjobs.co.uk</w:t>
            </w:r>
          </w:p>
        </w:tc>
        <w:tc>
          <w:tcPr>
            <w:tcW w:type="dxa" w:w="2880"/>
          </w:tcPr>
          <w:p>
            <w:r>
              <w:t>Already yours</w:t>
            </w:r>
          </w:p>
        </w:tc>
      </w:tr>
    </w:tbl>
    <w:p>
      <w:r>
        <w:rPr>
          <w:i/>
          <w:sz w:val="19"/>
        </w:rPr>
        <w:t>Tool subscriptions are billed at cost +3% to cover currency conversion and payment processing. Prices checked against the vendors' pricing pages on 30 September 2026.</w:t>
      </w:r>
    </w:p>
    <w:p>
      <w:r>
        <w:rPr>
          <w:b/>
        </w:rPr>
        <w:t>Expected return:</w:t>
      </w:r>
      <w:r>
        <w:t xml:space="preserve"> at €499 per month, year two costs €5,988 for both boards against the roughly €12,400 per year that Strategies' published price of £899 per month implies today, while adding candidate accounts, Google for Jobs visibility, a staff posting console and a live dashboard.</w:t>
      </w:r>
    </w:p>
    <w:p>
      <w:r>
        <w:br w:type="page"/>
      </w:r>
    </w:p>
    <w:p>
      <w:pPr>
        <w:pStyle w:val="Heading1"/>
      </w:pPr>
      <w:r>
        <w:t>06. Agreement</w:t>
      </w:r>
    </w:p>
    <w:p>
      <w:pPr>
        <w:pStyle w:val="Heading2"/>
      </w:pPr>
      <w:r>
        <w:t>Terms and conditions.</w:t>
      </w:r>
    </w:p>
    <w:p>
      <w:r>
        <w:t>ProdCraft will build the GreenJobs platform for GreenJobs Ltd according to the description laid out in this proposal. Billing starts on the signature date. The deposit is charged upfront; the balance on go-live; monthly plans are charged upfront at the start of each cycle. Cancellation of the monthly plan: 30 days' written notice; anything already paid is not refunded. All infrastructure, data and source code belong to GreenJobs Ltd. Response time: one business day. Additional features, extensions or other integrations separate from the listed requirements may affect the timeline and costs laid out above. If you have a question or comment, email debanjan@prodcraft.fyi.</w:t>
      </w:r>
    </w:p>
    <w:p>
      <w:r>
        <w:t>By signing below, both parties indicate their acceptance of this proposal and constitute approval to begin work upon GreenJobs Ltd's deposit payment. This document is signed electronically through DocuSign.</w:t>
      </w:r>
    </w:p>
    <w:tbl>
      <w:tblPr>
        <w:tblStyle w:val="TableGrid"/>
        <w:tblW w:type="auto" w:w="0"/>
        <w:tblLook w:firstColumn="1" w:firstRow="1" w:lastColumn="0" w:lastRow="0" w:noHBand="0" w:noVBand="1" w:val="04A0"/>
      </w:tblPr>
      <w:tblGrid>
        <w:gridCol w:w="4320"/>
        <w:gridCol w:w="4320"/>
      </w:tblGrid>
      <w:tr>
        <w:tc>
          <w:tcPr>
            <w:tcW w:type="dxa" w:w="4320"/>
          </w:tcPr>
          <w:p>
            <w:r>
              <w:rPr>
                <w:b/>
              </w:rPr>
              <w:t>ProdCraft</w:t>
            </w:r>
          </w:p>
        </w:tc>
        <w:tc>
          <w:tcPr>
            <w:tcW w:type="dxa" w:w="4320"/>
          </w:tcPr>
          <w:p>
            <w:r>
              <w:rPr>
                <w:b/>
              </w:rPr>
              <w:t>GreenJobs Ltd</w:t>
            </w:r>
          </w:p>
        </w:tc>
      </w:tr>
      <w:tr>
        <w:tc>
          <w:tcPr>
            <w:tcW w:type="dxa" w:w="4320"/>
          </w:tcPr>
          <w:p>
            <w:r>
              <w:t>Name: Debanjan Mazumdar</w:t>
            </w:r>
          </w:p>
        </w:tc>
        <w:tc>
          <w:tcPr>
            <w:tcW w:type="dxa" w:w="4320"/>
          </w:tcPr>
          <w:p>
            <w:r>
              <w:t>Name: Keith Molony</w:t>
            </w:r>
          </w:p>
        </w:tc>
      </w:tr>
      <w:tr>
        <w:tc>
          <w:tcPr>
            <w:tcW w:type="dxa" w:w="4320"/>
          </w:tcPr>
          <w:p>
            <w:r>
              <w:t>Title: Founder, ProdCraft</w:t>
            </w:r>
          </w:p>
        </w:tc>
        <w:tc>
          <w:tcPr>
            <w:tcW w:type="dxa" w:w="4320"/>
          </w:tcPr>
          <w:p>
            <w:r>
              <w:t>Title: Managing Director</w:t>
            </w:r>
          </w:p>
        </w:tc>
      </w:tr>
      <w:tr>
        <w:tc>
          <w:tcPr>
            <w:tcW w:type="dxa" w:w="4320"/>
          </w:tcPr>
          <w:p>
            <w:r>
              <w:t>Signature: ______________________________</w:t>
            </w:r>
          </w:p>
        </w:tc>
        <w:tc>
          <w:tcPr>
            <w:tcW w:type="dxa" w:w="4320"/>
          </w:tcPr>
          <w:p>
            <w:r>
              <w:t>Signature: ______________________________</w:t>
            </w:r>
          </w:p>
        </w:tc>
      </w:tr>
      <w:tr>
        <w:tc>
          <w:tcPr>
            <w:tcW w:type="dxa" w:w="4320"/>
          </w:tcPr>
          <w:p>
            <w:r>
              <w:t>Date: ____ / ____ / ________</w:t>
            </w:r>
          </w:p>
        </w:tc>
        <w:tc>
          <w:tcPr>
            <w:tcW w:type="dxa" w:w="4320"/>
          </w:tcPr>
          <w:p>
            <w:r>
              <w:t>Date: ____ / ____ / ________</w:t>
            </w:r>
          </w:p>
        </w:tc>
      </w:tr>
      <w:tr>
        <w:tc>
          <w:tcPr>
            <w:tcW w:type="dxa" w:w="4320"/>
          </w:tcPr>
          <w:p>
            <w:r>
              <w:t>Email: debanjan@prodcraft.fyi</w:t>
            </w:r>
          </w:p>
        </w:tc>
        <w:tc>
          <w:tcPr>
            <w:tcW w:type="dxa" w:w="4320"/>
          </w:tcPr>
          <w:p>
            <w:r>
              <w:t>Email: keith@gaiatalent.com</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000000"/>
      <w:sz w:val="4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000000"/>
      <w:sz w:val="30"/>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b/>
      <w:bCs/>
      <w:color w:val="000000"/>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