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9A4705"/>
          <w:sz w:val="18"/>
        </w:rPr>
        <w:t>ASSET VOYAGES  ·  PRODCRAFT</w:t>
      </w:r>
    </w:p>
    <w:p>
      <w:pPr>
        <w:spacing w:after="40"/>
      </w:pPr>
      <w:r>
        <w:rPr>
          <w:b/>
          <w:i w:val="0"/>
          <w:sz w:val="40"/>
        </w:rPr>
        <w:t>Answer sheet: our 30 questions</w:t>
      </w:r>
    </w:p>
    <w:p>
      <w:pPr>
        <w:spacing w:after="200"/>
      </w:pPr>
      <w:r>
        <w:rPr>
          <w:b w:val="0"/>
          <w:i w:val="0"/>
          <w:color w:val="4A5A68"/>
          <w:sz w:val="20"/>
        </w:rPr>
        <w:t>Website redesign · questions sent 28 October 2026</w:t>
      </w:r>
    </w:p>
    <w:p>
      <w:pPr>
        <w:spacing w:after="60"/>
      </w:pPr>
      <w:r>
        <w:rPr>
          <w:b/>
          <w:i w:val="0"/>
          <w:sz w:val="22"/>
        </w:rPr>
        <w:t>Answered by</w:t>
      </w:r>
    </w:p>
    <w:tbl>
      <w:tblPr>
        <w:tblStyle w:val="TableGrid"/>
        <w:tblW w:type="auto" w:w="0"/>
        <w:tblLook w:firstColumn="1" w:firstRow="1" w:lastColumn="0" w:lastRow="0" w:noHBand="0" w:noVBand="1" w:val="04A0"/>
      </w:tblPr>
      <w:tblGrid>
        <w:gridCol w:w="5100"/>
        <w:gridCol w:w="5100"/>
      </w:tblGrid>
      <w:tr>
        <w:tc>
          <w:tcPr>
            <w:tcW w:type="dxa" w:w="5100"/>
          </w:tcPr>
          <w:p>
            <w:r>
              <w:rPr>
                <w:b/>
                <w:sz w:val="18"/>
              </w:rPr>
              <w:t>Name</w:t>
            </w:r>
          </w:p>
        </w:tc>
        <w:tc>
          <w:tcPr>
            <w:tcW w:type="dxa" w:w="5100"/>
          </w:tcPr>
          <w:p>
            <w:r>
              <w:rPr>
                <w:b/>
                <w:sz w:val="18"/>
              </w:rPr>
              <w:t>Role</w:t>
            </w:r>
          </w:p>
        </w:tc>
      </w:tr>
      <w:tr>
        <w:tc>
          <w:tcPr>
            <w:tcW w:type="dxa" w:w="5100"/>
          </w:tcPr>
          <w:p/>
        </w:tc>
        <w:tc>
          <w:tcPr>
            <w:tcW w:type="dxa" w:w="5100"/>
          </w:tcPr>
          <w:p/>
        </w:tc>
      </w:tr>
    </w:tbl>
    <w:p>
      <w:pPr>
        <w:spacing w:after="120"/>
      </w:pPr>
    </w:p>
    <w:p>
      <w:pPr>
        <w:spacing w:after="60"/>
      </w:pPr>
      <w:r>
        <w:rPr>
          <w:b/>
          <w:i w:val="0"/>
          <w:sz w:val="24"/>
        </w:rPr>
        <w:t>Write OK to accept our assumption, or your answer.</w:t>
      </w:r>
    </w:p>
    <w:p>
      <w:pPr>
        <w:spacing w:after="60"/>
      </w:pPr>
      <w:r>
        <w:rPr>
          <w:b w:val="0"/>
          <w:i w:val="0"/>
        </w:rPr>
        <w:t>Please return your answers as one PDF to debanjan@prodcraft.fyi by Friday 6 November 2026. Type your answers in the boxes below, then save this file as PDF. Short answers are fine. Anything not answered by then follows the assumption shown under the question.</w:t>
      </w:r>
    </w:p>
    <w:p>
      <w:pPr>
        <w:spacing w:after="120"/>
      </w:pPr>
      <w:r>
        <w:rPr>
          <w:b/>
          <w:color w:val="9A4705"/>
          <w:sz w:val="18"/>
        </w:rPr>
        <w:t>ANSWER FIRST</w:t>
      </w:r>
      <w:r>
        <w:t xml:space="preserve"> marks the eight questions to start with if time is short: 1, 2, 3, 5, 6, 9, 15, 18.</w:t>
      </w:r>
    </w:p>
    <w:p>
      <w:pPr>
        <w:spacing w:after="80" w:before="200"/>
      </w:pPr>
      <w:r>
        <w:rPr>
          <w:b/>
          <w:i w:val="0"/>
          <w:color w:val="9A4705"/>
          <w:sz w:val="26"/>
        </w:rPr>
        <w:t>Timing, budget and decisions</w:t>
      </w:r>
    </w:p>
    <w:p>
      <w:pPr>
        <w:keepNext/>
        <w:spacing w:after="40"/>
      </w:pPr>
      <w:r>
        <w:rPr>
          <w:b/>
          <w:sz w:val="23"/>
        </w:rPr>
        <w:t>1 · Dates</w:t>
      </w:r>
      <w:r>
        <w:rPr>
          <w:b/>
          <w:color w:val="9A4705"/>
          <w:sz w:val="17"/>
        </w:rPr>
        <w:t xml:space="preserve">   ANSWER FIRST</w:t>
      </w:r>
    </w:p>
    <w:p>
      <w:pPr>
        <w:keepNext/>
        <w:spacing w:after="40"/>
      </w:pPr>
      <w:r>
        <w:rPr>
          <w:b w:val="0"/>
          <w:i w:val="0"/>
        </w:rPr>
        <w:t>When is the proposal due, and when do you plan to choose a supplier? Is there a date the new site has to be live by, or a busy period when it should not launch?</w:t>
      </w:r>
    </w:p>
    <w:p>
      <w:pPr>
        <w:keepNext/>
        <w:spacing w:after="60"/>
      </w:pPr>
      <w:r>
        <w:rPr>
          <w:b w:val="0"/>
          <w:i/>
          <w:color w:val="4A5A68"/>
          <w:sz w:val="19"/>
        </w:rPr>
        <w:t>Our assumption if we don’t hear back: we send the proposal within 24–48 hours of receiving your answers, or by 10 November if no answers arrive by 6 November; work starts within 5 working days of the signed proposal; launch about 12 weeks after the start, moving day for day with any late input; no launch between 21 December and 1 January.</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 · Budget</w:t>
      </w:r>
      <w:r>
        <w:rPr>
          <w:b/>
          <w:color w:val="9A4705"/>
          <w:sz w:val="17"/>
        </w:rPr>
        <w:t xml:space="preserve">   ANSWER FIRST</w:t>
      </w:r>
    </w:p>
    <w:p>
      <w:pPr>
        <w:keepNext/>
        <w:spacing w:after="40"/>
      </w:pPr>
      <w:r>
        <w:rPr>
          <w:b w:val="0"/>
          <w:i w:val="0"/>
        </w:rPr>
        <w:t>Is there a budget range or a cap for the core site and the Congress catalogue? A rough bracket is enough.</w:t>
      </w:r>
    </w:p>
    <w:p>
      <w:pPr>
        <w:keepNext/>
        <w:spacing w:after="60"/>
      </w:pPr>
      <w:r>
        <w:rPr>
          <w:b w:val="0"/>
          <w:i/>
          <w:color w:val="4A5A68"/>
          <w:sz w:val="19"/>
        </w:rPr>
        <w:t>Our assumption if we don’t hear back: we quote the core site and the Congress catalogue as set out in our proposal, which lists the pages, listings, rounds of changes and exclusions. Every option is priced separately, so you can pick.</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3 · Approvals</w:t>
      </w:r>
      <w:r>
        <w:rPr>
          <w:b/>
          <w:color w:val="9A4705"/>
          <w:sz w:val="17"/>
        </w:rPr>
        <w:t xml:space="preserve">   ANSWER FIRST</w:t>
      </w:r>
    </w:p>
    <w:p>
      <w:pPr>
        <w:keepNext/>
        <w:spacing w:after="40"/>
      </w:pPr>
      <w:r>
        <w:rPr>
          <w:b w:val="0"/>
          <w:i w:val="0"/>
        </w:rPr>
        <w:t>Who at ASSET approves each stage (design, content, launch), and does each activity (Business Travel, MICE, Congresses) sign off its own pages? How many working days should we plan for each approval?</w:t>
      </w:r>
    </w:p>
    <w:p>
      <w:pPr>
        <w:keepNext/>
        <w:spacing w:after="60"/>
      </w:pPr>
      <w:r>
        <w:rPr>
          <w:b w:val="0"/>
          <w:i/>
          <w:color w:val="4A5A68"/>
          <w:sz w:val="19"/>
        </w:rPr>
        <w:t>Our assumption if we don’t hear back: ASSET management approves each stage in writing (directly, or through Ms Khatri on its behalf) within 3 working days, in one combined reply for all three activities. To keep the dates on track, if neither an approval nor a written list of blocking problems arrives in that time, a design or content stage counts as approved so work can continue. Launch always needs management’s written go-ahead (section 07). Acceptance testing before launch lasts 5 working days, against the tests in your brief (T01–T15) only.</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Today’s website and accounts</w:t>
      </w:r>
    </w:p>
    <w:p>
      <w:pPr>
        <w:keepNext/>
        <w:spacing w:after="40"/>
      </w:pPr>
      <w:r>
        <w:rPr>
          <w:b/>
          <w:sz w:val="23"/>
        </w:rPr>
        <w:t>4 · Current provider</w:t>
      </w:r>
    </w:p>
    <w:p>
      <w:pPr>
        <w:keepNext/>
        <w:spacing w:after="40"/>
      </w:pPr>
      <w:r>
        <w:rPr>
          <w:b w:val="0"/>
          <w:i w:val="0"/>
        </w:rPr>
        <w:t>Who looks after the current site today (an agency, a freelancer, your team), and is there a contract or notice period with them?</w:t>
      </w:r>
    </w:p>
    <w:p>
      <w:pPr>
        <w:keepNext/>
        <w:spacing w:after="60"/>
      </w:pPr>
      <w:r>
        <w:rPr>
          <w:b w:val="0"/>
          <w:i/>
          <w:color w:val="4A5A68"/>
          <w:sz w:val="19"/>
        </w:rPr>
        <w:t>Our assumption if we don’t hear back: nothing in a current contract limits the project, and ASSET arranges any handover from today’s provider.</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5 · Accounts</w:t>
      </w:r>
      <w:r>
        <w:rPr>
          <w:b/>
          <w:color w:val="9A4705"/>
          <w:sz w:val="17"/>
        </w:rPr>
        <w:t xml:space="preserve">   ANSWER FIRST</w:t>
      </w:r>
    </w:p>
    <w:p>
      <w:pPr>
        <w:keepNext/>
        <w:spacing w:after="40"/>
      </w:pPr>
      <w:r>
        <w:rPr>
          <w:b w:val="0"/>
          <w:i w:val="0"/>
        </w:rPr>
        <w:t>Are the domain, hosting, email, Google Analytics, Search Console and Google Business Profile accounts in ASSET’s name? Who at ASSET should own the accounts of the new site?</w:t>
      </w:r>
    </w:p>
    <w:p>
      <w:pPr>
        <w:keepNext/>
        <w:spacing w:after="60"/>
      </w:pPr>
      <w:r>
        <w:rPr>
          <w:b w:val="0"/>
          <w:i/>
          <w:color w:val="4A5A68"/>
          <w:sz w:val="19"/>
        </w:rPr>
        <w:t>Our assumption if we don’t hear back: ASSET gives us access at kickoff. Every new account is opened in ASSET’s name, owned by management, with Ms Khatri as day-to-day administrator. If an account is held by someone else, ASSET asks them to transfer it; we can tell you exactly what to ask for.</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6 · Domain</w:t>
      </w:r>
      <w:r>
        <w:rPr>
          <w:b/>
          <w:color w:val="9A4705"/>
          <w:sz w:val="17"/>
        </w:rPr>
        <w:t xml:space="preserve">   ANSWER FIRST</w:t>
      </w:r>
    </w:p>
    <w:p>
      <w:pPr>
        <w:keepNext/>
        <w:spacing w:after="40"/>
      </w:pPr>
      <w:r>
        <w:rPr>
          <w:b w:val="0"/>
          <w:i w:val="0"/>
        </w:rPr>
        <w:t>Should the new site be on asset-voyagesdaffaires.com, assetvoyages.com, or both? Are there other web addresses or campaign pages we should know about?</w:t>
      </w:r>
    </w:p>
    <w:p>
      <w:pPr>
        <w:keepNext/>
        <w:spacing w:after="60"/>
      </w:pPr>
      <w:r>
        <w:rPr>
          <w:b w:val="0"/>
          <w:i/>
          <w:color w:val="4A5A68"/>
          <w:sz w:val="19"/>
        </w:rPr>
        <w:t>Our assumption if we don’t hear back: the new site lives on asset-voyagesdaffaires.com, the address Google knows today, and assetvoyages.com points to it (web address only; your email is not touched). No other addresses are included.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7 · Analytics, trackers</w:t>
      </w:r>
    </w:p>
    <w:p>
      <w:pPr>
        <w:keepNext/>
        <w:spacing w:after="40"/>
      </w:pPr>
      <w:r>
        <w:rPr>
          <w:b w:val="0"/>
          <w:i w:val="0"/>
        </w:rPr>
        <w:t>Could you give us read-only access to Google Analytics and Search Console? Which trackers (LinkedIn, Meta) and ad campaigns (Google Ads, LinkedIn Ads) must keep working?</w:t>
      </w:r>
    </w:p>
    <w:p>
      <w:pPr>
        <w:keepNext/>
        <w:spacing w:after="60"/>
      </w:pPr>
      <w:r>
        <w:rPr>
          <w:b w:val="0"/>
          <w:i/>
          <w:color w:val="4A5A68"/>
          <w:sz w:val="19"/>
        </w:rPr>
        <w:t>Our assumption if we don’t hear back: we plan the move of old pages from our own scan of the site. No trackers are carried over. Visitor statistics need no cookies, and the site itself counts the actions your brief lists (button clicks, form starts and sends, errors, congress searches, congress page views, account requests and client-login clicks) without cookies or personal data. Ad campaigns are not included.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8 · Selectour</w:t>
      </w:r>
    </w:p>
    <w:p>
      <w:pPr>
        <w:keepNext/>
        <w:spacing w:after="40"/>
      </w:pPr>
      <w:r>
        <w:rPr>
          <w:b w:val="0"/>
          <w:i w:val="0"/>
        </w:rPr>
        <w:t>Does Selectour ask for anything on your website (logos, legal mentions, brand rules)?</w:t>
      </w:r>
    </w:p>
    <w:p>
      <w:pPr>
        <w:keepNext/>
        <w:spacing w:after="60"/>
      </w:pPr>
      <w:r>
        <w:rPr>
          <w:b w:val="0"/>
          <w:i/>
          <w:color w:val="4A5A68"/>
          <w:sz w:val="19"/>
        </w:rPr>
        <w:t>Our assumption if we don’t hear back: we show the Selectour Affaires logo and membership line as they appear on today’s site, and nothing more.</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Content, brand and languages</w:t>
      </w:r>
    </w:p>
    <w:p>
      <w:pPr>
        <w:keepNext/>
        <w:spacing w:after="40"/>
      </w:pPr>
      <w:r>
        <w:rPr>
          <w:b/>
          <w:sz w:val="23"/>
        </w:rPr>
        <w:t>9 · Texts, pages</w:t>
      </w:r>
      <w:r>
        <w:rPr>
          <w:b/>
          <w:color w:val="9A4705"/>
          <w:sz w:val="17"/>
        </w:rPr>
        <w:t xml:space="preserve">   ANSWER FIRST</w:t>
      </w:r>
    </w:p>
    <w:p>
      <w:pPr>
        <w:keepNext/>
        <w:spacing w:after="40"/>
      </w:pPr>
      <w:r>
        <w:rPr>
          <w:b w:val="0"/>
          <w:i w:val="0"/>
        </w:rPr>
        <w:t>Will your team write the new French copy, or do you want us to rewrite the existing pages? Roughly how many pages, articles and FAQ entries do you expect at launch?</w:t>
      </w:r>
    </w:p>
    <w:p>
      <w:pPr>
        <w:keepNext/>
        <w:spacing w:after="60"/>
      </w:pPr>
      <w:r>
        <w:rPr>
          <w:b w:val="0"/>
          <w:i/>
          <w:color w:val="4A5A68"/>
          <w:sz w:val="19"/>
        </w:rPr>
        <w:t>Our assumption if we don’t hear back: ASSET writes the French text for new pages. We move up to 20 of today’s pages plus 3 legal pages, editing wording only (titles, headings, clarity and typos), with your corrections made within the two rounds of changes of the content stage (section 07); other pages are merged or redirected. ASSET supplies or approves the wording of the legal pages; we do not give legal advice. Ms Khatri adds further articles and FAQ herself.</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10 · Brand</w:t>
      </w:r>
    </w:p>
    <w:p>
      <w:pPr>
        <w:keepNext/>
        <w:spacing w:after="40"/>
      </w:pPr>
      <w:r>
        <w:rPr>
          <w:b w:val="0"/>
          <w:i w:val="0"/>
        </w:rPr>
        <w:t>Do you have brand guidelines (logo files, colours, fonts)? Is the logo fixed, or is a light refresh welcome?</w:t>
      </w:r>
    </w:p>
    <w:p>
      <w:pPr>
        <w:keepNext/>
        <w:spacing w:after="60"/>
      </w:pPr>
      <w:r>
        <w:rPr>
          <w:b w:val="0"/>
          <w:i/>
          <w:color w:val="4A5A68"/>
          <w:sz w:val="19"/>
        </w:rPr>
        <w:t>Our assumption if we don’t hear back: we keep today’s logo and colours exactly as they are and build a short style guide from them.</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11 · Photos, logos</w:t>
      </w:r>
    </w:p>
    <w:p>
      <w:pPr>
        <w:keepNext/>
        <w:spacing w:after="40"/>
      </w:pPr>
      <w:r>
        <w:rPr>
          <w:b w:val="0"/>
          <w:i w:val="0"/>
        </w:rPr>
        <w:t>Do you have approved photos, client logos, testimonials and figures we can publish? Which team members may appear by name and photo?</w:t>
      </w:r>
    </w:p>
    <w:p>
      <w:pPr>
        <w:keepNext/>
        <w:spacing w:after="60"/>
      </w:pPr>
      <w:r>
        <w:rPr>
          <w:b w:val="0"/>
          <w:i/>
          <w:color w:val="4A5A68"/>
          <w:sz w:val="19"/>
        </w:rPr>
        <w:t>Our assumption if we don’t hear back: we publish only what is on today’s site and what you confirm in writing: no client logos, testimonials or new figures, illustrations instead of photos, and no named team members.</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12 · Small-business offer</w:t>
      </w:r>
    </w:p>
    <w:p>
      <w:pPr>
        <w:keepNext/>
        <w:spacing w:after="40"/>
      </w:pPr>
      <w:r>
        <w:rPr>
          <w:b w:val="0"/>
          <w:i w:val="0"/>
        </w:rPr>
        <w:t>For small businesses, is there a defined simplified offer (service level, fees) to present, or is the page there to collect account and demo requests?</w:t>
      </w:r>
    </w:p>
    <w:p>
      <w:pPr>
        <w:keepNext/>
        <w:spacing w:after="60"/>
      </w:pPr>
      <w:r>
        <w:rPr>
          <w:b w:val="0"/>
          <w:i/>
          <w:color w:val="4A5A68"/>
          <w:sz w:val="19"/>
        </w:rPr>
        <w:t>Our assumption if we don’t hear back: the small-business page explains the service and collects account and demo requests, with no prices or service levels.</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13 · Assistance</w:t>
      </w:r>
    </w:p>
    <w:p>
      <w:pPr>
        <w:keepNext/>
        <w:spacing w:after="40"/>
      </w:pPr>
      <w:r>
        <w:rPr>
          <w:b w:val="0"/>
          <w:i w:val="0"/>
        </w:rPr>
        <w:t>Which assistance services exist today (for example an emergency line), with their hours and phone numbers, so we only publish what is real?</w:t>
      </w:r>
    </w:p>
    <w:p>
      <w:pPr>
        <w:keepNext/>
        <w:spacing w:after="60"/>
      </w:pPr>
      <w:r>
        <w:rPr>
          <w:b w:val="0"/>
          <w:i/>
          <w:color w:val="4A5A68"/>
          <w:sz w:val="19"/>
        </w:rPr>
        <w:t>Our assumption if we don’t hear back: we show the 24/7 assistance wording as it appears on today’s site, and publish a phone number only once you confirm it in writing.</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14 · English</w:t>
      </w:r>
    </w:p>
    <w:p>
      <w:pPr>
        <w:keepNext/>
        <w:spacing w:after="40"/>
      </w:pPr>
      <w:r>
        <w:rPr>
          <w:b w:val="0"/>
          <w:i w:val="0"/>
        </w:rPr>
        <w:t>Which journeys should be in English first, from when (launch or later), and who will translate?</w:t>
      </w:r>
    </w:p>
    <w:p>
      <w:pPr>
        <w:keepNext/>
        <w:spacing w:after="60"/>
      </w:pPr>
      <w:r>
        <w:rPr>
          <w:b w:val="0"/>
          <w:i/>
          <w:color w:val="4A5A68"/>
          <w:sz w:val="19"/>
        </w:rPr>
        <w:t>Our assumption if we don’t hear back: the site is in French only at launch. English is a separate option, and ASSET arranges and pays for professional translation.</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Enquiries and sales tools</w:t>
      </w:r>
    </w:p>
    <w:p>
      <w:pPr>
        <w:keepNext/>
        <w:spacing w:after="40"/>
      </w:pPr>
      <w:r>
        <w:rPr>
          <w:b/>
          <w:sz w:val="23"/>
        </w:rPr>
        <w:t>15 · Enquiry recipients</w:t>
      </w:r>
      <w:r>
        <w:rPr>
          <w:b/>
          <w:color w:val="9A4705"/>
          <w:sz w:val="17"/>
        </w:rPr>
        <w:t xml:space="preserve">   ANSWER FIRST</w:t>
      </w:r>
    </w:p>
    <w:p>
      <w:pPr>
        <w:keepNext/>
        <w:spacing w:after="40"/>
      </w:pPr>
      <w:r>
        <w:rPr>
          <w:b w:val="0"/>
          <w:i w:val="0"/>
        </w:rPr>
        <w:t>Who should receive each type of enquiry (Business Travel, MICE, Congresses), with a backup person, and how quickly can you promise a reply?</w:t>
      </w:r>
    </w:p>
    <w:p>
      <w:pPr>
        <w:keepNext/>
        <w:spacing w:after="60"/>
      </w:pPr>
      <w:r>
        <w:rPr>
          <w:b w:val="0"/>
          <w:i/>
          <w:color w:val="4A5A68"/>
          <w:sz w:val="19"/>
        </w:rPr>
        <w:t>Our assumption if we don’t hear back: every enquiry goes to one shared mailbox (direction@assetvoyages.com until you name another), and the confirmation email says you will reply shortly, with no time promised.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16 · CRM</w:t>
      </w:r>
    </w:p>
    <w:p>
      <w:pPr>
        <w:keepNext/>
        <w:spacing w:after="40"/>
      </w:pPr>
      <w:r>
        <w:rPr>
          <w:b w:val="0"/>
          <w:i w:val="0"/>
        </w:rPr>
        <w:t>Which sales tools do you use today: a CRM, a newsletter or email-marketing tool, or email only?</w:t>
      </w:r>
    </w:p>
    <w:p>
      <w:pPr>
        <w:keepNext/>
        <w:spacing w:after="60"/>
      </w:pPr>
      <w:r>
        <w:rPr>
          <w:b w:val="0"/>
          <w:i/>
          <w:color w:val="4A5A68"/>
          <w:sz w:val="19"/>
        </w:rPr>
        <w:t>Our assumption if we don’t hear back: you use no CRM or newsletter tool. Enquiries are followed in the site’s own enquiry list with an export that opens in Excel, and forms carry no marketing tick box.</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Congress catalogue</w:t>
      </w:r>
    </w:p>
    <w:p>
      <w:pPr>
        <w:keepNext/>
        <w:spacing w:after="40"/>
      </w:pPr>
      <w:r>
        <w:rPr>
          <w:b/>
          <w:sz w:val="23"/>
        </w:rPr>
        <w:t>17 · Congress file</w:t>
      </w:r>
    </w:p>
    <w:p>
      <w:pPr>
        <w:keepNext/>
        <w:spacing w:after="40"/>
      </w:pPr>
      <w:r>
        <w:rPr>
          <w:b w:val="0"/>
          <w:i w:val="0"/>
        </w:rPr>
        <w:t>Could you share 10 sample rows from your list of events (the 300 in the brief), with where the listings come from and roughly how many you add each year?</w:t>
      </w:r>
    </w:p>
    <w:p>
      <w:pPr>
        <w:keepNext/>
        <w:spacing w:after="60"/>
      </w:pPr>
      <w:r>
        <w:rPr>
          <w:b w:val="0"/>
          <w:i/>
          <w:color w:val="4A5A68"/>
          <w:sz w:val="19"/>
        </w:rPr>
        <w:t>Our assumption if we don’t hear back: ASSET provides one spreadsheet of up to 300 congresses in our template, using the fields listed in your brief. We import it once and send back a list of any rows with errors for ASSET to correct. Finding, researching or rewriting listings is not included. Ms Khatri adds new ones in the admin afterwards, one by one or by spreadsheet import.</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18 · GM&amp;E codes</w:t>
      </w:r>
      <w:r>
        <w:rPr>
          <w:b/>
          <w:color w:val="9A4705"/>
          <w:sz w:val="17"/>
        </w:rPr>
        <w:t xml:space="preserve">   ANSWER FIRST</w:t>
      </w:r>
    </w:p>
    <w:p>
      <w:pPr>
        <w:keepNext/>
        <w:spacing w:after="40"/>
      </w:pPr>
      <w:r>
        <w:rPr>
          <w:b w:val="0"/>
          <w:i w:val="0"/>
        </w:rPr>
        <w:t>Does ASSET already work with Air France–KLM’s Global Meetings and Events programme? How do the event codes work: one per congress or several, and do they expire?</w:t>
      </w:r>
    </w:p>
    <w:p>
      <w:pPr>
        <w:keepNext/>
        <w:spacing w:after="60"/>
      </w:pPr>
      <w:r>
        <w:rPr>
          <w:b w:val="0"/>
          <w:i/>
          <w:color w:val="4A5A68"/>
          <w:sz w:val="19"/>
        </w:rPr>
        <w:t>Our assumption if we don’t hear back: no fare code and no special-fare wording appears anywhere until ASSET confirms the arrangement in writing. The locked admin holds the code, its evidence and its validity period for each congress, as your brief lists.</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19 · Congress approval</w:t>
      </w:r>
    </w:p>
    <w:p>
      <w:pPr>
        <w:keepNext/>
        <w:spacing w:after="40"/>
      </w:pPr>
      <w:r>
        <w:rPr>
          <w:b w:val="0"/>
          <w:i w:val="0"/>
        </w:rPr>
        <w:t>Who at ASSET does each step from spotting a congress to approving it for sale? Who gives the final approval: one person or several?</w:t>
      </w:r>
    </w:p>
    <w:p>
      <w:pPr>
        <w:keepNext/>
        <w:spacing w:after="60"/>
      </w:pPr>
      <w:r>
        <w:rPr>
          <w:b w:val="0"/>
          <w:i/>
          <w:color w:val="4A5A68"/>
          <w:sz w:val="19"/>
        </w:rPr>
        <w:t>Our assumption if we don’t hear back: Ms Khatri moves each congress through the steps and ASSET management gives the final approval for sale.</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20 · Fare wording</w:t>
      </w:r>
    </w:p>
    <w:p>
      <w:pPr>
        <w:keepNext/>
        <w:spacing w:after="40"/>
      </w:pPr>
      <w:r>
        <w:rPr>
          <w:b w:val="0"/>
          <w:i w:val="0"/>
        </w:rPr>
        <w:t>Once a congress is approved for sale, what can we show publicly about Air France–KLM fares? A “preferential fares” badge, or only “request a quote”?</w:t>
      </w:r>
    </w:p>
    <w:p>
      <w:pPr>
        <w:keepNext/>
        <w:spacing w:after="60"/>
      </w:pPr>
      <w:r>
        <w:rPr>
          <w:b w:val="0"/>
          <w:i/>
          <w:color w:val="4A5A68"/>
          <w:sz w:val="19"/>
        </w:rPr>
        <w:t>Our assumption if we don’t hear back: only “request a quote”: no fare badge, no discount and no partner claim.</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21 · Past congresses</w:t>
      </w:r>
    </w:p>
    <w:p>
      <w:pPr>
        <w:keepNext/>
        <w:spacing w:after="40"/>
      </w:pPr>
      <w:r>
        <w:rPr>
          <w:b w:val="0"/>
          <w:i w:val="0"/>
        </w:rPr>
        <w:t>When a congress is over, should its page stay online as an archive, or come down?</w:t>
      </w:r>
    </w:p>
    <w:p>
      <w:pPr>
        <w:keepNext/>
        <w:spacing w:after="60"/>
      </w:pPr>
      <w:r>
        <w:rPr>
          <w:b w:val="0"/>
          <w:i/>
          <w:color w:val="4A5A68"/>
          <w:sz w:val="19"/>
        </w:rPr>
        <w:t>Our assumption if we don’t hear back: the page stays online as a past edition, without the quote button, and Ms Khatri can add a link to the next edition once it is listed.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22 · Quote request</w:t>
      </w:r>
    </w:p>
    <w:p>
      <w:pPr>
        <w:keepNext/>
        <w:spacing w:after="40"/>
      </w:pPr>
      <w:r>
        <w:rPr>
          <w:b w:val="0"/>
          <w:i w:val="0"/>
        </w:rPr>
        <w:t>What should one congress quote request cover: several travellers leaving from different cities (for example, a lab sending doctors from Lyon and Paris), and hotel or transfers as well as flights?</w:t>
      </w:r>
    </w:p>
    <w:p>
      <w:pPr>
        <w:keepNext/>
        <w:spacing w:after="60"/>
      </w:pPr>
      <w:r>
        <w:rPr>
          <w:b w:val="0"/>
          <w:i/>
          <w:color w:val="4A5A68"/>
          <w:sz w:val="19"/>
        </w:rPr>
        <w:t>Our assumption if we don’t hear back: one request covers one group, with one departure city or airport of the traveller’s choice and a number of travellers, for flights only. Extra departure cities, hotel or transfer needs go in a free-text « Précisions » box.</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Partners and options</w:t>
      </w:r>
    </w:p>
    <w:p>
      <w:pPr>
        <w:keepNext/>
        <w:spacing w:after="40"/>
      </w:pPr>
      <w:r>
        <w:rPr>
          <w:b/>
          <w:sz w:val="23"/>
        </w:rPr>
        <w:t>23 · Client login</w:t>
      </w:r>
    </w:p>
    <w:p>
      <w:pPr>
        <w:keepNext/>
        <w:spacing w:after="40"/>
      </w:pPr>
      <w:r>
        <w:rPr>
          <w:b w:val="0"/>
          <w:i w:val="0"/>
        </w:rPr>
        <w:t>Is Wondermiles replacing “Connexion Traveldoo”, and is a single “Client login” link enough at launch? Should the client area also link to your other client tools (IRES, the Smart app)?</w:t>
      </w:r>
    </w:p>
    <w:p>
      <w:pPr>
        <w:keepNext/>
        <w:spacing w:after="60"/>
      </w:pPr>
      <w:r>
        <w:rPr>
          <w:b w:val="0"/>
          <w:i/>
          <w:color w:val="4A5A68"/>
          <w:sz w:val="19"/>
        </w:rPr>
        <w:t>Our assumption if we don’t hear back: one “Client login” button to today’s Traveldoo address, which Ms Khatri can change in the admin. No single login, and no other tools linked.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24 · Wondermiles</w:t>
      </w:r>
    </w:p>
    <w:p>
      <w:pPr>
        <w:keepNext/>
        <w:spacing w:after="40"/>
      </w:pPr>
      <w:r>
        <w:rPr>
          <w:b w:val="0"/>
          <w:i w:val="0"/>
        </w:rPr>
        <w:t>Who is your contact at Wondermiles? What may we show about Wondermiles on the “Digital solutions” page (logo, screenshots, product text), and does your agreement with them let a supplier like us read their technical documentation?</w:t>
      </w:r>
    </w:p>
    <w:p>
      <w:pPr>
        <w:keepNext/>
        <w:spacing w:after="60"/>
      </w:pPr>
      <w:r>
        <w:rPr>
          <w:b w:val="0"/>
          <w:i/>
          <w:color w:val="4A5A68"/>
          <w:sz w:val="19"/>
        </w:rPr>
        <w:t>Our assumption if we don’t hear back: Wondermiles is named in text only, with no logo or screenshots, until Wondermiles approves them in writing. No technical link-up is assumed.</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25 · AI option</w:t>
      </w:r>
    </w:p>
    <w:p>
      <w:pPr>
        <w:keepNext/>
        <w:spacing w:after="40"/>
      </w:pPr>
      <w:r>
        <w:rPr>
          <w:b w:val="0"/>
          <w:i w:val="0"/>
        </w:rPr>
        <w:t>For the AI option, what should it do first? Find new congresses for your team to review, or something else?</w:t>
      </w:r>
    </w:p>
    <w:p>
      <w:pPr>
        <w:keepNext/>
        <w:spacing w:after="60"/>
      </w:pPr>
      <w:r>
        <w:rPr>
          <w:b w:val="0"/>
          <w:i/>
          <w:color w:val="4A5A68"/>
          <w:sz w:val="19"/>
        </w:rPr>
        <w:t>Our assumption if we don’t hear back: the AI option is priced as a helper that finds new congresses on official websites for your team to check. Nothing is published without a person approving it.</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spacing w:after="80" w:before="200"/>
      </w:pPr>
      <w:r>
        <w:rPr>
          <w:b/>
          <w:i w:val="0"/>
          <w:color w:val="9A4705"/>
          <w:sz w:val="26"/>
        </w:rPr>
        <w:t>Security, data and running the site</w:t>
      </w:r>
    </w:p>
    <w:p>
      <w:pPr>
        <w:keepNext/>
        <w:spacing w:after="40"/>
      </w:pPr>
      <w:r>
        <w:rPr>
          <w:b/>
          <w:sz w:val="23"/>
        </w:rPr>
        <w:t>26 · Staff login</w:t>
      </w:r>
    </w:p>
    <w:p>
      <w:pPr>
        <w:keepNext/>
        <w:spacing w:after="40"/>
      </w:pPr>
      <w:r>
        <w:rPr>
          <w:b w:val="0"/>
          <w:i w:val="0"/>
        </w:rPr>
        <w:t>Does your team sign in with Microsoft 365 or Google Workspace? We’d use it for a secure two-step login to the admin area.</w:t>
      </w:r>
    </w:p>
    <w:p>
      <w:pPr>
        <w:keepNext/>
        <w:spacing w:after="60"/>
      </w:pPr>
      <w:r>
        <w:rPr>
          <w:b w:val="0"/>
          <w:i/>
          <w:color w:val="4A5A68"/>
          <w:sz w:val="19"/>
        </w:rPr>
        <w:t>Our assumption if we don’t hear back: staff sign in with a one-time code sent to their named work email, then confirm with a second step: an authenticator app on their phone or a security key. If you use Microsoft 365 or Google Workspace, staff sign in with that account instead, with its own two-step check switched on.</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27 · Data location</w:t>
      </w:r>
    </w:p>
    <w:p>
      <w:pPr>
        <w:keepNext/>
        <w:spacing w:after="40"/>
      </w:pPr>
      <w:r>
        <w:rPr>
          <w:b w:val="0"/>
          <w:i w:val="0"/>
        </w:rPr>
        <w:t>Must the site and its data stay in the EU or in France, do your clients send security questionnaires, and who at ASSET handles personal-data questions?</w:t>
      </w:r>
    </w:p>
    <w:p>
      <w:pPr>
        <w:keepNext/>
        <w:spacing w:after="60"/>
      </w:pPr>
      <w:r>
        <w:rPr>
          <w:b w:val="0"/>
          <w:i/>
          <w:color w:val="4A5A68"/>
          <w:sz w:val="19"/>
        </w:rPr>
        <w:t>Our assumption if we don’t hear back: the database is stored in the EU. Some providers (such as Cloudflare and Resend) are US companies, used under data-processing agreements as EU rules require; the full list of providers comes with the proposal. No security questionnaire is included (one can be answered later, quoted separately), and ASSET management handles personal-data requests using the written procedure we provide.</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28 · Admin users</w:t>
      </w:r>
    </w:p>
    <w:p>
      <w:pPr>
        <w:keepNext/>
        <w:spacing w:after="40"/>
      </w:pPr>
      <w:r>
        <w:rPr>
          <w:b w:val="0"/>
          <w:i w:val="0"/>
        </w:rPr>
        <w:t>Who besides Ms Khatri will use the admin: a backup editor, other contributors, sales staff who only read enquiries? We need to know to set access and plan training.</w:t>
      </w:r>
    </w:p>
    <w:p>
      <w:pPr>
        <w:keepNext/>
        <w:spacing w:after="60"/>
      </w:pPr>
      <w:r>
        <w:rPr>
          <w:b w:val="0"/>
          <w:i/>
          <w:color w:val="4A5A68"/>
          <w:sz w:val="19"/>
        </w:rPr>
        <w:t>Our assumption if we don’t hear back: two people edit the site, Ms Khatri and one backup editor, both trained. Management can read enquiries and give the final approval for congresses, but not edit pages. Only Ms Khatri and management can see the GM&amp;E fare codes and their evidence; the backup editor cannot.</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29 · Monthly changes</w:t>
      </w:r>
    </w:p>
    <w:p>
      <w:pPr>
        <w:keepNext/>
        <w:spacing w:after="40"/>
      </w:pPr>
      <w:r>
        <w:rPr>
          <w:b w:val="0"/>
          <w:i w:val="0"/>
        </w:rPr>
        <w:t>What kind of changes do you expect each month (new pages, offers, articles, congress updates)?</w:t>
      </w:r>
    </w:p>
    <w:p>
      <w:pPr>
        <w:keepNext/>
        <w:spacing w:after="60"/>
      </w:pPr>
      <w:r>
        <w:rPr>
          <w:b w:val="0"/>
          <w:i/>
          <w:color w:val="4A5A68"/>
          <w:sz w:val="19"/>
        </w:rPr>
        <w:t>Our assumption if we don’t hear back: up to 5 hours of changes a month are included in the optional maintenance plan priced in the proposal; unused hours do not carry over, and anything more is quoted first.</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p>
      <w:pPr>
        <w:keepNext/>
        <w:spacing w:after="40"/>
      </w:pPr>
      <w:r>
        <w:rPr>
          <w:b/>
          <w:sz w:val="23"/>
        </w:rPr>
        <w:t>30 · Support hours</w:t>
      </w:r>
    </w:p>
    <w:p>
      <w:pPr>
        <w:keepNext/>
        <w:spacing w:after="40"/>
      </w:pPr>
      <w:r>
        <w:rPr>
          <w:b w:val="0"/>
          <w:i w:val="0"/>
        </w:rPr>
        <w:t>What support hours do you need from us for the website (office hours, or also evenings and weekends in congress season), and how long an interruption can your business accept?</w:t>
      </w:r>
    </w:p>
    <w:p>
      <w:pPr>
        <w:keepNext/>
        <w:spacing w:after="60"/>
      </w:pPr>
      <w:r>
        <w:rPr>
          <w:b w:val="0"/>
          <w:i/>
          <w:color w:val="4A5A68"/>
          <w:sz w:val="19"/>
        </w:rPr>
        <w:t>Our assumption if we don’t hear back: with the optional maintenance plan, support Monday to Friday, 9:00–18:00 Paris time, with no evening or weekend cover, and we aim to have the site back within 8 business hours after a serious incident on our side; outages at the hosting providers are outside this target. After the 4-week settling-in period (J6), support comes from the plan or is quoted per request.</w:t>
      </w:r>
    </w:p>
    <w:tbl>
      <w:tblPr>
        <w:tblStyle w:val="TableGrid"/>
        <w:tblW w:type="auto" w:w="0"/>
        <w:jc w:val="left"/>
        <w:tblLook w:firstColumn="1" w:firstRow="1" w:lastColumn="0" w:lastRow="0" w:noHBand="0" w:noVBand="1" w:val="04A0"/>
      </w:tblPr>
      <w:tblGrid>
        <w:gridCol w:w="10200"/>
      </w:tblGrid>
      <w:tr>
        <w:tc>
          <w:tcPr>
            <w:tcW w:type="dxa" w:w="10200"/>
            <w:shd w:val="clear" w:color="auto" w:fill="FBFAF6"/>
          </w:tcPr>
          <w:p>
            <w:r/>
          </w:p>
          <w:p/>
          <w:p/>
        </w:tc>
      </w:tr>
    </w:tbl>
    <w:p>
      <w:pPr>
        <w:spacing w:after="12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1F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Voyages – answer sheet (30 questions)</dc:title>
  <dc:subject/>
  <dc:creator>ProdCraft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