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Lakeshore Convention Center: Metered Electricity</w:t>
      </w:r>
    </w:p>
    <w:p>
      <w:pPr>
        <w:pStyle w:val="Heading1"/>
      </w:pPr>
      <w:r>
        <w:t>1 Electricity Use</w:t>
      </w:r>
    </w:p>
    <w:p>
      <w:r>
        <w:t>Over the year the North substation delivered 7,275 MWh and the South substation 3,400 MWh. Figure 1 gives each substation's use month by month.</w:t>
      </w:r>
    </w:p>
    <w:p>
      <w:r>
        <w:drawing>
          <wp:inline xmlns:a="http://schemas.openxmlformats.org/drawingml/2006/main" xmlns:pic="http://schemas.openxmlformats.org/drawingml/2006/picture">
            <wp:extent cx="6146800" cy="304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46800" cy="304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1. Monthly electricity use by substation</w:t>
      </w:r>
    </w:p>
    <w:p>
      <w:pPr>
        <w:pStyle w:val="Heading1"/>
      </w:pPr>
      <w:r>
        <w:t>2 Peak Demand</w:t>
      </w:r>
    </w:p>
    <w:p>
      <w:r>
        <w:t>The utility contract caps the center's demand at 3,519 kW. Figure 2 gives each substation's peak demand in each month; the two peaks seldom fall in the same hour, so their sum overstates the center's.</w:t>
      </w:r>
    </w:p>
    <w:p>
      <w:r>
        <w:drawing>
          <wp:inline xmlns:a="http://schemas.openxmlformats.org/drawingml/2006/main" xmlns:pic="http://schemas.openxmlformats.org/drawingml/2006/picture">
            <wp:extent cx="6146800" cy="33017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46800" cy="33017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2. Monthly peak demand by substation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controlled corpus</dc:creator>
  <cp:keywords/>
  <dc:description>generated by python-docx</dc:description>
  <cp:lastModifiedBy>controlled corpus</cp:lastModifiedBy>
  <cp:revision>1</cp:revision>
  <dcterms:created xsi:type="dcterms:W3CDTF">2026-01-01T00:00:00Z</dcterms:created>
  <dcterms:modified xsi:type="dcterms:W3CDTF">2026-01-01T00:00:00Z</dcterms:modified>
  <cp:category/>
  <cp:lastPrinted>2026-01-01T00:00:00Z</cp:lastPrinted>
</cp:coreProperties>
</file>