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Lakeshore Hall C: Energy by End Use</w:t>
      </w:r>
    </w:p>
    <w:p>
      <w:pPr>
        <w:pStyle w:val="Heading1"/>
      </w:pPr>
      <w:r>
        <w:t>1 Energy by End Use</w:t>
      </w:r>
    </w:p>
    <w:p>
      <w:r>
        <w:t xml:space="preserve">Over the cooling season, Hall C's cooling uses 1,375 MWh, its fans 350 MWh and its lighting 200 MWh, as Figure 1 shows month by month. Figure 2 compares the two cooling options' peak loads.</w:t>
      </w:r>
    </w:p>
    <w:p>
      <w:r xmlns:a="http://schemas.openxmlformats.org/drawingml/2006/main">
        <w:drawing>
          <wp:inline distT="0" distB="0" distL="0" distR="0">
            <wp:extent cx="5486400" cy="3200400"/>
            <wp:effectExtent l="0" t="0" r="0" b="0"/>
            <wp:docPr id="1" name="Chart 1"/>
            <wp:cNvGraphicFramePr/>
            <a:graphic>
              <a:graphicData uri="http://schemas.openxmlformats.org/drawingml/2006/chart">
                <c:chart xmlns:c="http://schemas.openxmlformats.org/drawingml/2006/chart" r:id="rId9"/>
              </a:graphicData>
            </a:graphic>
          </wp:inline>
        </w:drawing>
      </w:r>
    </w:p>
    <w:p>
      <w:pPr>
        <w:pStyle w:val="Caption"/>
      </w:pPr>
      <w:r>
        <w:t>Figure 1. Hall C monthly energy by end use, May to October</w:t>
      </w:r>
    </w:p>
    <w:p>
      <w:pPr>
        <w:pStyle w:val="Heading1"/>
      </w:pPr>
      <w:r>
        <w:t>2 Peak Loads</w:t>
      </w:r>
    </w:p>
    <w:p>
      <w:r>
        <w:t xml:space="preserve">The two options' peak loads follow the season, rising to midsummer and falling after it.</w:t>
      </w:r>
    </w:p>
    <w:p>
      <w:r xmlns:a="http://schemas.openxmlformats.org/drawingml/2006/main">
        <w:drawing>
          <wp:inline distT="0" distB="0" distL="0" distR="0">
            <wp:extent cx="5486400" cy="3200400"/>
            <wp:effectExtent l="0" t="0" r="0" b="0"/>
            <wp:docPr id="2" name="Chart 2"/>
            <wp:cNvGraphicFramePr/>
            <a:graphic>
              <a:graphicData uri="http://schemas.openxmlformats.org/drawingml/2006/chart">
                <c:chart xmlns:c="http://schemas.openxmlformats.org/drawingml/2006/chart" r:id="rId10"/>
              </a:graphicData>
            </a:graphic>
          </wp:inline>
        </w:drawing>
      </w:r>
    </w:p>
    <w:p>
      <w:pPr>
        <w:pStyle w:val="Caption"/>
      </w:pPr>
      <w:r>
        <w:t>Figure 2. Monthly peak cooling load of the two options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chart" Target="charts/chart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Cooling</c:v>
                </c:pt>
              </c:strCache>
            </c:strRef>
          </c:tx>
          <c:cat>
            <c:strRef>
              <c:f>Sheet1!$A$2:$A$7</c:f>
              <c:strCache>
                <c:ptCount val="6"/>
                <c:pt idx="0">
                  <c:v>May</c:v>
                </c:pt>
                <c:pt idx="1">
                  <c:v>June</c:v>
                </c:pt>
                <c:pt idx="2">
                  <c:v>July</c:v>
                </c:pt>
                <c:pt idx="3">
                  <c:v>August</c:v>
                </c:pt>
                <c:pt idx="4">
                  <c:v>September</c:v>
                </c:pt>
                <c:pt idx="5">
                  <c:v>October</c:v>
                </c:pt>
              </c:strCache>
            </c:strRef>
          </c:cat>
          <c:val>
            <c:numRef>
              <c:f>Sheet1!$B$2:$B$7</c:f>
              <c:numCache>
                <c:formatCode>#,##0</c:formatCode>
                <c:ptCount val="6"/>
                <c:pt idx="0">
                  <c:v>125</c:v>
                </c:pt>
                <c:pt idx="1">
                  <c:v>250</c:v>
                </c:pt>
                <c:pt idx="2">
                  <c:v>325</c:v>
                </c:pt>
                <c:pt idx="3">
                  <c:v>325</c:v>
                </c:pt>
                <c:pt idx="4">
                  <c:v>225</c:v>
                </c:pt>
                <c:pt idx="5">
                  <c:v>125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Fans</c:v>
                </c:pt>
              </c:strCache>
            </c:strRef>
          </c:tx>
          <c:cat>
            <c:strRef>
              <c:f>Sheet1!$A$2:$A$7</c:f>
              <c:strCache>
                <c:ptCount val="6"/>
                <c:pt idx="0">
                  <c:v>May</c:v>
                </c:pt>
                <c:pt idx="1">
                  <c:v>June</c:v>
                </c:pt>
                <c:pt idx="2">
                  <c:v>July</c:v>
                </c:pt>
                <c:pt idx="3">
                  <c:v>August</c:v>
                </c:pt>
                <c:pt idx="4">
                  <c:v>September</c:v>
                </c:pt>
                <c:pt idx="5">
                  <c:v>October</c:v>
                </c:pt>
              </c:strCache>
            </c:strRef>
          </c:cat>
          <c:val>
            <c:numRef>
              <c:f>Sheet1!$C$2:$C$7</c:f>
              <c:numCache>
                <c:formatCode>#,##0</c:formatCode>
                <c:ptCount val="6"/>
                <c:pt idx="0">
                  <c:v>50</c:v>
                </c:pt>
                <c:pt idx="1">
                  <c:v>50</c:v>
                </c:pt>
                <c:pt idx="2">
                  <c:v>100</c:v>
                </c:pt>
                <c:pt idx="3">
                  <c:v>75</c:v>
                </c:pt>
                <c:pt idx="4">
                  <c:v>50</c:v>
                </c:pt>
                <c:pt idx="5">
                  <c:v>25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Lighting</c:v>
                </c:pt>
              </c:strCache>
            </c:strRef>
          </c:tx>
          <c:cat>
            <c:strRef>
              <c:f>Sheet1!$A$2:$A$7</c:f>
              <c:strCache>
                <c:ptCount val="6"/>
                <c:pt idx="0">
                  <c:v>May</c:v>
                </c:pt>
                <c:pt idx="1">
                  <c:v>June</c:v>
                </c:pt>
                <c:pt idx="2">
                  <c:v>July</c:v>
                </c:pt>
                <c:pt idx="3">
                  <c:v>August</c:v>
                </c:pt>
                <c:pt idx="4">
                  <c:v>September</c:v>
                </c:pt>
                <c:pt idx="5">
                  <c:v>October</c:v>
                </c:pt>
              </c:strCache>
            </c:strRef>
          </c:cat>
          <c:val>
            <c:numRef>
              <c:f>Sheet1!$D$2:$D$7</c:f>
              <c:numCache>
                <c:formatCode>#,##0</c:formatCode>
                <c:ptCount val="6"/>
                <c:pt idx="0">
                  <c:v>25</c:v>
                </c:pt>
                <c:pt idx="1">
                  <c:v>25</c:v>
                </c:pt>
                <c:pt idx="2">
                  <c:v>50</c:v>
                </c:pt>
                <c:pt idx="3">
                  <c:v>50</c:v>
                </c:pt>
                <c:pt idx="4">
                  <c:v>25</c:v>
                </c:pt>
                <c:pt idx="5">
                  <c:v>25</c:v>
                </c:pt>
              </c:numCache>
            </c:numRef>
          </c:val>
        </c:ser>
        <c:overlap val="100"/>
        <c:axId val="1"/>
        <c:axId val="2"/>
      </c:barChart>
      <c:catAx>
        <c:axId val="1"/>
        <c:scaling>
          <c:orientation val="minMax"/>
        </c:scaling>
        <c:delete val="0"/>
        <c:axPos val="b"/>
        <c:numFmt formatCode="General" sourceLinked="1"/>
        <c:crossAx val="2"/>
      </c:catAx>
      <c:valAx>
        <c:axId val="2"/>
        <c:scaling>
          <c:orientation val="minMax"/>
        </c:scaling>
        <c:delete val="0"/>
        <c:axPos val="l"/>
        <c:majorGridlines/>
        <c:title>
          <c:tx>
            <c:rich>
              <a:bodyPr/>
              <a:p>
                <a:r>
                  <a:t>MWh</a:t>
                </a:r>
              </a:p>
            </c:rich>
          </c:tx>
          <c:overlay val="0"/>
        </c:title>
        <c:numFmt formatCode="#,##0" sourceLinked="1"/>
        <c:crossAx val="1"/>
        <c:crossBetween val="between"/>
      </c:valAx>
    </c:plotArea>
    <c:legend>
      <c:legendPos val="b"/>
      <c:overlay val="0"/>
    </c:legend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Option 1, chilled beams</c:v>
                </c:pt>
              </c:strCache>
            </c:strRef>
          </c:tx>
          <c:marker>
            <c:symbol val="circle"/>
          </c:marker>
          <c:cat>
            <c:strRef>
              <c:f>Sheet1!$A$2:$A$7</c:f>
              <c:strCache>
                <c:ptCount val="6"/>
                <c:pt idx="0">
                  <c:v>May</c:v>
                </c:pt>
                <c:pt idx="1">
                  <c:v>June</c:v>
                </c:pt>
                <c:pt idx="2">
                  <c:v>July</c:v>
                </c:pt>
                <c:pt idx="3">
                  <c:v>August</c:v>
                </c:pt>
                <c:pt idx="4">
                  <c:v>September</c:v>
                </c:pt>
                <c:pt idx="5">
                  <c:v>October</c:v>
                </c:pt>
              </c:strCache>
            </c:strRef>
          </c:cat>
          <c:val>
            <c:numRef>
              <c:f>Sheet1!$B$2:$B$7</c:f>
              <c:numCache>
                <c:formatCode>#,##0</c:formatCode>
                <c:ptCount val="6"/>
                <c:pt idx="0">
                  <c:v>250</c:v>
                </c:pt>
                <c:pt idx="1">
                  <c:v>500</c:v>
                </c:pt>
                <c:pt idx="2">
                  <c:v>600</c:v>
                </c:pt>
                <c:pt idx="3">
                  <c:v>550</c:v>
                </c:pt>
                <c:pt idx="4">
                  <c:v>450</c:v>
                </c:pt>
                <c:pt idx="5">
                  <c:v>200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Option 2, VAV baseline</c:v>
                </c:pt>
              </c:strCache>
            </c:strRef>
          </c:tx>
          <c:marker>
            <c:symbol val="circle"/>
          </c:marker>
          <c:cat>
            <c:strRef>
              <c:f>Sheet1!$A$2:$A$7</c:f>
              <c:strCache>
                <c:ptCount val="6"/>
                <c:pt idx="0">
                  <c:v>May</c:v>
                </c:pt>
                <c:pt idx="1">
                  <c:v>June</c:v>
                </c:pt>
                <c:pt idx="2">
                  <c:v>July</c:v>
                </c:pt>
                <c:pt idx="3">
                  <c:v>August</c:v>
                </c:pt>
                <c:pt idx="4">
                  <c:v>September</c:v>
                </c:pt>
                <c:pt idx="5">
                  <c:v>October</c:v>
                </c:pt>
              </c:strCache>
            </c:strRef>
          </c:cat>
          <c:val>
            <c:numRef>
              <c:f>Sheet1!$C$2:$C$7</c:f>
              <c:numCache>
                <c:formatCode>#,##0</c:formatCode>
                <c:ptCount val="6"/>
                <c:pt idx="0">
                  <c:v>350</c:v>
                </c:pt>
                <c:pt idx="1">
                  <c:v>650</c:v>
                </c:pt>
                <c:pt idx="2">
                  <c:v>800</c:v>
                </c:pt>
                <c:pt idx="3">
                  <c:v>750</c:v>
                </c:pt>
                <c:pt idx="4">
                  <c:v>400</c:v>
                </c:pt>
                <c:pt idx="5">
                  <c:v>300</c:v>
                </c:pt>
              </c:numCache>
            </c:numRef>
          </c:val>
        </c:ser>
        <c:marker val="1"/>
        <c:axId val="1"/>
        <c:axId val="2"/>
      </c:lineChart>
      <c:catAx>
        <c:axId val="1"/>
        <c:scaling>
          <c:orientation val="minMax"/>
        </c:scaling>
        <c:delete val="0"/>
        <c:axPos val="b"/>
        <c:numFmt formatCode="General" sourceLinked="1"/>
        <c:crossAx val="2"/>
      </c:catAx>
      <c:valAx>
        <c:axId val="2"/>
        <c:scaling>
          <c:orientation val="minMax"/>
        </c:scaling>
        <c:delete val="0"/>
        <c:axPos val="l"/>
        <c:majorGridlines/>
        <c:title>
          <c:tx>
            <c:rich>
              <a:bodyPr/>
              <a:p>
                <a:r>
                  <a:t>tons</a:t>
                </a:r>
              </a:p>
            </c:rich>
          </c:tx>
          <c:overlay val="0"/>
        </c:title>
        <c:numFmt formatCode="#,##0" sourceLinked="1"/>
        <c:crossAx val="1"/>
        <c:crossBetween val="between"/>
      </c:valAx>
    </c:plotArea>
    <c:legend>
      <c:legendPos val="b"/>
      <c:overlay val="0"/>
    </c:legend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