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Convention Center: Metered Electricity</w:t>
      </w:r>
    </w:p>
    <w:p>
      <w:pPr>
        <w:pStyle w:val="Heading1"/>
      </w:pPr>
      <w:r>
        <w:t>1 Electricity Use</w:t>
      </w:r>
    </w:p>
    <w:p>
      <w:r>
        <w:t xml:space="preserve">Over the year the North substation delivered 7,275 MWh and the South substation 3,400 MWh. Figure 1 gives each substation's use month by month.</w:t>
      </w:r>
    </w:p>
    <w:p>
      <w:r xmlns:a="http://schemas.openxmlformats.org/drawingml/2006/main">
        <w:drawing>
          <wp:inline distT="0" distB="0" distL="0" distR="0">
            <wp:extent cx="5486400" cy="3200400"/>
            <wp:effectExtent l="0" t="0" r="0" b="0"/>
            <wp:docPr id="1" name="Chart 1"/>
            <wp:cNvGraphicFramePr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Style w:val="Caption"/>
      </w:pPr>
      <w:r>
        <w:t>Figure 1. Monthly electricity use by substation</w:t>
      </w:r>
    </w:p>
    <w:p>
      <w:pPr>
        <w:pStyle w:val="Heading1"/>
      </w:pPr>
      <w:r>
        <w:t>2 Peak Demand</w:t>
      </w:r>
    </w:p>
    <w:p>
      <w:r>
        <w:t xml:space="preserve">The utility contract caps the center's demand at 3,519 kW. Figure 2 gives each substation's peak demand in each month; the two peaks seldom fall in the same hour, so their sum overstates the center's.</w:t>
      </w:r>
    </w:p>
    <w:p>
      <w:r xmlns:a="http://schemas.openxmlformats.org/drawingml/2006/main">
        <w:drawing>
          <wp:inline distT="0" distB="0" distL="0" distR="0">
            <wp:extent cx="5486400" cy="3200400"/>
            <wp:effectExtent l="0" t="0" r="0" b="0"/>
            <wp:docPr id="2" name="Chart 2"/>
            <wp:cNvGraphicFramePr/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Style w:val="Caption"/>
      </w:pPr>
      <w:r>
        <w:t>Figure 2. Monthly peak demand by substation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 substation</c:v>
                </c:pt>
              </c:strCache>
            </c:strRef>
          </c:tx>
          <c:cat>
            <c:strRef>
              <c:f>Sheet1!$A$2:$A$13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Sheet1!$B$2:$B$13</c:f>
              <c:numCache>
                <c:formatCode>#,##0</c:formatCode>
                <c:ptCount val="12"/>
                <c:pt idx="0">
                  <c:v>475</c:v>
                </c:pt>
                <c:pt idx="1">
                  <c:v>450</c:v>
                </c:pt>
                <c:pt idx="2">
                  <c:v>475</c:v>
                </c:pt>
                <c:pt idx="3">
                  <c:v>550</c:v>
                </c:pt>
                <c:pt idx="4">
                  <c:v>675</c:v>
                </c:pt>
                <c:pt idx="5">
                  <c:v>775</c:v>
                </c:pt>
                <c:pt idx="6">
                  <c:v>775</c:v>
                </c:pt>
                <c:pt idx="7">
                  <c:v>775</c:v>
                </c:pt>
                <c:pt idx="8">
                  <c:v>675</c:v>
                </c:pt>
                <c:pt idx="9">
                  <c:v>600</c:v>
                </c:pt>
                <c:pt idx="10">
                  <c:v>500</c:v>
                </c:pt>
                <c:pt idx="11">
                  <c:v>550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 substation</c:v>
                </c:pt>
              </c:strCache>
            </c:strRef>
          </c:tx>
          <c:cat>
            <c:strRef>
              <c:f>Sheet1!$A$2:$A$13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Sheet1!$C$2:$C$13</c:f>
              <c:numCache>
                <c:formatCode>#,##0</c:formatCode>
                <c:ptCount val="12"/>
                <c:pt idx="0">
                  <c:v>225</c:v>
                </c:pt>
                <c:pt idx="1">
                  <c:v>200</c:v>
                </c:pt>
                <c:pt idx="2">
                  <c:v>250</c:v>
                </c:pt>
                <c:pt idx="3">
                  <c:v>275</c:v>
                </c:pt>
                <c:pt idx="4">
                  <c:v>300</c:v>
                </c:pt>
                <c:pt idx="5">
                  <c:v>350</c:v>
                </c:pt>
                <c:pt idx="6">
                  <c:v>350</c:v>
                </c:pt>
                <c:pt idx="7">
                  <c:v>350</c:v>
                </c:pt>
                <c:pt idx="8">
                  <c:v>325</c:v>
                </c:pt>
                <c:pt idx="9">
                  <c:v>275</c:v>
                </c:pt>
                <c:pt idx="10">
                  <c:v>250</c:v>
                </c:pt>
                <c:pt idx="11">
                  <c:v>250</c:v>
                </c:pt>
              </c:numCache>
            </c:numRef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1"/>
        <c:crossAx val="2"/>
      </c:catAx>
      <c:valAx>
        <c:axId val="2"/>
        <c:scaling>
          <c:orientation val="minMax"/>
        </c:scaling>
        <c:delete val="0"/>
        <c:axPos val="l"/>
        <c:majorGridlines/>
        <c:title>
          <c:tx>
            <c:rich>
              <a:bodyPr/>
              <a:p>
                <a:r>
                  <a:t>MWh</a:t>
                </a:r>
              </a:p>
            </c:rich>
          </c:tx>
          <c:overlay val="0"/>
        </c:title>
        <c:numFmt formatCode="#,##0" sourceLinked="1"/>
        <c:crossAx val="1"/>
        <c:crossBetween val="between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 substation</c:v>
                </c:pt>
              </c:strCache>
            </c:strRef>
          </c:tx>
          <c:marker>
            <c:symbol val="circle"/>
          </c:marker>
          <c:cat>
            <c:strRef>
              <c:f>Sheet1!$A$2:$A$13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Sheet1!$B$2:$B$13</c:f>
              <c:numCache>
                <c:formatCode>#,##0</c:formatCode>
                <c:ptCount val="12"/>
                <c:pt idx="0">
                  <c:v>1750</c:v>
                </c:pt>
                <c:pt idx="1">
                  <c:v>1650</c:v>
                </c:pt>
                <c:pt idx="2">
                  <c:v>1750</c:v>
                </c:pt>
                <c:pt idx="3">
                  <c:v>1950</c:v>
                </c:pt>
                <c:pt idx="4">
                  <c:v>2050</c:v>
                </c:pt>
                <c:pt idx="5">
                  <c:v>2200</c:v>
                </c:pt>
                <c:pt idx="6">
                  <c:v>2250</c:v>
                </c:pt>
                <c:pt idx="7">
                  <c:v>2250</c:v>
                </c:pt>
                <c:pt idx="8">
                  <c:v>2150</c:v>
                </c:pt>
                <c:pt idx="9">
                  <c:v>1950</c:v>
                </c:pt>
                <c:pt idx="10">
                  <c:v>1700</c:v>
                </c:pt>
                <c:pt idx="11">
                  <c:v>1850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 substation</c:v>
                </c:pt>
              </c:strCache>
            </c:strRef>
          </c:tx>
          <c:marker>
            <c:symbol val="circle"/>
          </c:marker>
          <c:cat>
            <c:strRef>
              <c:f>Sheet1!$A$2:$A$13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Sheet1!$C$2:$C$13</c:f>
              <c:numCache>
                <c:formatCode>#,##0</c:formatCode>
                <c:ptCount val="12"/>
                <c:pt idx="0">
                  <c:v>850</c:v>
                </c:pt>
                <c:pt idx="1">
                  <c:v>850</c:v>
                </c:pt>
                <c:pt idx="2">
                  <c:v>850</c:v>
                </c:pt>
                <c:pt idx="3">
                  <c:v>950</c:v>
                </c:pt>
                <c:pt idx="4">
                  <c:v>1050</c:v>
                </c:pt>
                <c:pt idx="5">
                  <c:v>1050</c:v>
                </c:pt>
                <c:pt idx="6">
                  <c:v>1150</c:v>
                </c:pt>
                <c:pt idx="7">
                  <c:v>1150</c:v>
                </c:pt>
                <c:pt idx="8">
                  <c:v>1000</c:v>
                </c:pt>
                <c:pt idx="9">
                  <c:v>1000</c:v>
                </c:pt>
                <c:pt idx="10">
                  <c:v>850</c:v>
                </c:pt>
                <c:pt idx="11">
                  <c:v>900</c:v>
                </c:pt>
              </c:numCache>
            </c:numRef>
          </c:val>
        </c:ser>
        <c:marker val="1"/>
        <c:axId val="1"/>
        <c:axId val="2"/>
      </c:lineChart>
      <c:catAx>
        <c:axId val="1"/>
        <c:scaling>
          <c:orientation val="minMax"/>
        </c:scaling>
        <c:delete val="0"/>
        <c:axPos val="b"/>
        <c:numFmt formatCode="General" sourceLinked="1"/>
        <c:crossAx val="2"/>
      </c:catAx>
      <c:valAx>
        <c:axId val="2"/>
        <c:scaling>
          <c:orientation val="minMax"/>
        </c:scaling>
        <c:delete val="0"/>
        <c:axPos val="l"/>
        <c:majorGridlines/>
        <c:title>
          <c:tx>
            <c:rich>
              <a:bodyPr/>
              <a:p>
                <a:r>
                  <a:t>kW</a:t>
                </a:r>
              </a:p>
            </c:rich>
          </c:tx>
          <c:overlay val="0"/>
        </c:title>
        <c:numFmt formatCode="#,##0" sourceLinked="1"/>
        <c:crossAx val="1"/>
        <c:crossBetween val="between"/>
      </c:valAx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